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208"/>
        <w:gridCol w:w="4177"/>
        <w:gridCol w:w="1706"/>
      </w:tblGrid>
      <w:tr w:rsidR="00EB26D6" w:rsidRPr="00EB26D6" w14:paraId="00101DD3" w14:textId="77777777" w:rsidTr="008322F9">
        <w:tc>
          <w:tcPr>
            <w:tcW w:w="2260" w:type="dxa"/>
          </w:tcPr>
          <w:p w14:paraId="57C43197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Veiklos vertinimo kriterijus</w:t>
            </w:r>
          </w:p>
        </w:tc>
        <w:tc>
          <w:tcPr>
            <w:tcW w:w="1208" w:type="dxa"/>
          </w:tcPr>
          <w:p w14:paraId="1CAF4620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Svoris, %</w:t>
            </w:r>
          </w:p>
        </w:tc>
        <w:tc>
          <w:tcPr>
            <w:tcW w:w="4177" w:type="dxa"/>
          </w:tcPr>
          <w:p w14:paraId="0B21EC0E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Rodikliai</w:t>
            </w:r>
          </w:p>
        </w:tc>
        <w:tc>
          <w:tcPr>
            <w:tcW w:w="1706" w:type="dxa"/>
          </w:tcPr>
          <w:p w14:paraId="2F6991EE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Įgyvendinimas %</w:t>
            </w:r>
          </w:p>
        </w:tc>
      </w:tr>
      <w:tr w:rsidR="00EB26D6" w:rsidRPr="00EB26D6" w14:paraId="59A85C38" w14:textId="77777777" w:rsidTr="008322F9">
        <w:tc>
          <w:tcPr>
            <w:tcW w:w="2260" w:type="dxa"/>
          </w:tcPr>
          <w:p w14:paraId="0554CA46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Užtikrinti tikslingą valstybinės reikšmės kelių priežiūrai ir plėtrai skirtų lėšų panaudojimą</w:t>
            </w:r>
          </w:p>
        </w:tc>
        <w:tc>
          <w:tcPr>
            <w:tcW w:w="1208" w:type="dxa"/>
          </w:tcPr>
          <w:p w14:paraId="20E08FC3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177" w:type="dxa"/>
          </w:tcPr>
          <w:p w14:paraId="61F7F30A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KPPP investavimo koeficientas: panaudotų lėšų nuo sąmatos vertė dalis, proc.)</w:t>
            </w:r>
          </w:p>
        </w:tc>
        <w:tc>
          <w:tcPr>
            <w:tcW w:w="1706" w:type="dxa"/>
          </w:tcPr>
          <w:p w14:paraId="0033AE0A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EB26D6" w:rsidRPr="00EB26D6" w14:paraId="5C4EE007" w14:textId="77777777" w:rsidTr="008322F9">
        <w:tc>
          <w:tcPr>
            <w:tcW w:w="2260" w:type="dxa"/>
          </w:tcPr>
          <w:p w14:paraId="2AE6BF17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Užtikrinti strateginių ir žaliųjų projektų, numatytais terminais, įgyvendinimą.</w:t>
            </w:r>
          </w:p>
        </w:tc>
        <w:tc>
          <w:tcPr>
            <w:tcW w:w="1208" w:type="dxa"/>
          </w:tcPr>
          <w:p w14:paraId="713DA90C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4177" w:type="dxa"/>
          </w:tcPr>
          <w:p w14:paraId="658B2D70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 xml:space="preserve">Projektų tarpinių rezultatų pasiekimai.  </w:t>
            </w:r>
          </w:p>
          <w:p w14:paraId="275B1A19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 xml:space="preserve">Tarpiniai rezultatai: </w:t>
            </w:r>
          </w:p>
          <w:p w14:paraId="6D0506F3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1. A5 (Automobilių kelių jungties „Via Baltica“ plėtra)</w:t>
            </w:r>
          </w:p>
          <w:p w14:paraId="74E87842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1.1. Iki 2023-06-30 d. Pasirašyta I projekto etapo (ruožas nuo 56,83 km. iki 72,50 km.) rangos sutartis.</w:t>
            </w:r>
          </w:p>
          <w:p w14:paraId="155A700B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1.2. Iki 2023-06-30 d. I etape (ruožas nuo 56,83 km. iki 72,50 km.) gautas statybą leidžiantis dokumentas.</w:t>
            </w:r>
          </w:p>
          <w:p w14:paraId="49891769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1.3. Iki 2023-12-30 d. baigti fiziniai darbai II etape (ruožas nuo 72,50 km. iki 79,00 km.).</w:t>
            </w:r>
          </w:p>
          <w:p w14:paraId="2B53E093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1.4. Iki 2023-12-30 d. baigti fiziniai darbai III etape (ruožas 79,00 km. iki 85,00 km.).</w:t>
            </w:r>
          </w:p>
          <w:p w14:paraId="4BDB418A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1.5. Iki 2023-12-30 d. IV etapo (ruožas nuo 85,00 km. iki 97,06 km.) rangos pirkime pateikti dalyvių pasiūlymai - atplėšti vokai.</w:t>
            </w:r>
          </w:p>
          <w:p w14:paraId="356E38AE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 xml:space="preserve">2. Magistralinio kelio Nr. A14 rekonstrukcija </w:t>
            </w:r>
          </w:p>
          <w:p w14:paraId="6081341D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2.1. Iki 2023-12-30 d. ruože nuo 93,72 km. iki 95,60 km. nustatyta laimėtojų eilė.</w:t>
            </w:r>
          </w:p>
          <w:p w14:paraId="57B9329F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2.2. Iki 2023-12-30 d. ruože nuo 64,33 km. iki 79,51 km. rangos konkurse  pateikti dalyvių pasiūlymai - atplėšti vokai.</w:t>
            </w:r>
          </w:p>
          <w:p w14:paraId="76D7E1CA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2.3.Iki 2023-12-30 d. ruože nuo 79,51 km. iki 93,72 km. rangos konkurse  pateikti dalyvių pasiūlymai - atplėšti vokai.</w:t>
            </w:r>
          </w:p>
          <w:p w14:paraId="52FDEF07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3. 130 (Valstybinės reikšmės krašto kelio Nr. 130 Kaunas–Prienai–Alytus rekonstravimas)</w:t>
            </w:r>
          </w:p>
          <w:p w14:paraId="72C7C811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3.1. Iki 2023-10-31 d. ruože nuo 11,6 km. iki 23,37 km. projekto parengimo ir projekto vykdymo priežiūros konkurse nustatyta laimėtojų eilė.</w:t>
            </w:r>
          </w:p>
          <w:p w14:paraId="75531CEC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lastRenderedPageBreak/>
              <w:t>3.2. Iki 2023-10-31 d. ruože nuo 23,37 km. iki 31,1 km. projekto parengimo ir projekto vykdymo priežiūros konkurse nustatyta laimėtojų eilė.</w:t>
            </w:r>
          </w:p>
          <w:p w14:paraId="1089878B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4.  Dviračių transporto plėtra (Pėsčiųjų ir dviračių tako Smiltynė–Nida rekonstrukcija).</w:t>
            </w:r>
          </w:p>
          <w:p w14:paraId="07219214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4.1. Iki 2023-08-01 d. baigti pagrindiniai fiziniai darbai (paleistas dviračių eismas) I projekto dalyje.</w:t>
            </w:r>
          </w:p>
          <w:p w14:paraId="2DEDADAF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t>4.2. Iki 2023-08-01 d. baigti pagrindiniai fiziniai darbai (paleistas dviračių eismas) II projekto dalyje.</w:t>
            </w:r>
          </w:p>
        </w:tc>
        <w:tc>
          <w:tcPr>
            <w:tcW w:w="1706" w:type="dxa"/>
          </w:tcPr>
          <w:p w14:paraId="122CD0B1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000000"/>
                <w:sz w:val="24"/>
                <w:szCs w:val="24"/>
                <w:lang w:eastAsia="lt-LT"/>
              </w:rPr>
              <w:lastRenderedPageBreak/>
              <w:t>98</w:t>
            </w:r>
          </w:p>
        </w:tc>
      </w:tr>
      <w:tr w:rsidR="00EB26D6" w:rsidRPr="00EB26D6" w14:paraId="72323C0A" w14:textId="77777777" w:rsidTr="008322F9">
        <w:tc>
          <w:tcPr>
            <w:tcW w:w="2260" w:type="dxa"/>
          </w:tcPr>
          <w:p w14:paraId="58F5628E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Užtikrinti organizacinių pokyčių įgyvendinimą</w:t>
            </w:r>
          </w:p>
        </w:tc>
        <w:tc>
          <w:tcPr>
            <w:tcW w:w="1208" w:type="dxa"/>
          </w:tcPr>
          <w:p w14:paraId="58D2BEA5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177" w:type="dxa"/>
          </w:tcPr>
          <w:p w14:paraId="27E8B0B6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3.1. Užtikrinti, kad iki 2023.06.16 bus parengtas ir Valdybai pristatytas naujos LAKD organizacinės struktūros projektas.</w:t>
            </w:r>
          </w:p>
          <w:p w14:paraId="24CFF7C2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3.2. Valdybai patvirtinus naują LAKD organizacinę struktūrą, užtikrinti, kad vėliausiai iki 2023.10.01 bus tinkamai parengti ir darbuotojai supažindinti su visais dokumentais, reikalingais struktūriniams pokyčiui įgyvendinti.</w:t>
            </w:r>
          </w:p>
          <w:p w14:paraId="59608572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3.3 Užtikrinti, kad vėliausiai iki 2023.12.31 bus įvertintas ir valdybai pristatytas</w:t>
            </w:r>
          </w:p>
          <w:p w14:paraId="66EC5A8D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naujos struktūros pralaidumas pagal atskirus padalinius, įvertintas etatų ir kitų resursų poreikis.</w:t>
            </w:r>
          </w:p>
          <w:p w14:paraId="145AC1E5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3.4. Užtikrinti, kad iki 2023.12.31 bus pilnai pasirengta organizacijos darbui pagal naują struktūrą (apsirašyti/standartizuoti nauji procesai, parengtos esamos sistemos, numatyti padalinių KPI).</w:t>
            </w:r>
          </w:p>
        </w:tc>
        <w:tc>
          <w:tcPr>
            <w:tcW w:w="1706" w:type="dxa"/>
          </w:tcPr>
          <w:p w14:paraId="78CD2C87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100</w:t>
            </w:r>
          </w:p>
        </w:tc>
      </w:tr>
      <w:tr w:rsidR="00EB26D6" w:rsidRPr="00EB26D6" w14:paraId="25BB3FEA" w14:textId="77777777" w:rsidTr="008322F9">
        <w:tc>
          <w:tcPr>
            <w:tcW w:w="2260" w:type="dxa"/>
          </w:tcPr>
          <w:p w14:paraId="0C36355C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Efektyvus įmonės sąnaudų valdymas</w:t>
            </w:r>
          </w:p>
        </w:tc>
        <w:tc>
          <w:tcPr>
            <w:tcW w:w="1208" w:type="dxa"/>
          </w:tcPr>
          <w:p w14:paraId="16A9C94A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177" w:type="dxa"/>
          </w:tcPr>
          <w:p w14:paraId="0A9BDE93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Užtikrinti, kad patvirtintas 2023 m. įmonės sąnaudų biudžetas nebūtų viršytas.</w:t>
            </w:r>
          </w:p>
        </w:tc>
        <w:tc>
          <w:tcPr>
            <w:tcW w:w="1706" w:type="dxa"/>
          </w:tcPr>
          <w:p w14:paraId="18B653D8" w14:textId="77777777" w:rsidR="00EB26D6" w:rsidRPr="00EB26D6" w:rsidRDefault="00EB26D6" w:rsidP="00EB26D6">
            <w:pPr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</w:pPr>
            <w:r w:rsidRPr="00EB26D6">
              <w:rPr>
                <w:rFonts w:asciiTheme="majorHAnsi" w:hAnsiTheme="majorHAnsi" w:cstheme="majorHAnsi"/>
                <w:color w:val="1D1D1B"/>
                <w:sz w:val="24"/>
                <w:szCs w:val="24"/>
                <w:lang w:eastAsia="lt-LT"/>
              </w:rPr>
              <w:t>100</w:t>
            </w:r>
          </w:p>
        </w:tc>
      </w:tr>
    </w:tbl>
    <w:p w14:paraId="77DDFE31" w14:textId="77777777" w:rsidR="00866BC8" w:rsidRDefault="00866BC8"/>
    <w:sectPr w:rsidR="00866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34AB" w14:textId="77777777" w:rsidR="00A5345C" w:rsidRDefault="00A5345C" w:rsidP="00EB26D6">
      <w:pPr>
        <w:spacing w:after="0" w:line="240" w:lineRule="auto"/>
      </w:pPr>
      <w:r>
        <w:separator/>
      </w:r>
    </w:p>
  </w:endnote>
  <w:endnote w:type="continuationSeparator" w:id="0">
    <w:p w14:paraId="25A737AB" w14:textId="77777777" w:rsidR="00A5345C" w:rsidRDefault="00A5345C" w:rsidP="00EB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FF48" w14:textId="77777777" w:rsidR="00A5345C" w:rsidRDefault="00A5345C" w:rsidP="00EB26D6">
      <w:pPr>
        <w:spacing w:after="0" w:line="240" w:lineRule="auto"/>
      </w:pPr>
      <w:r>
        <w:separator/>
      </w:r>
    </w:p>
  </w:footnote>
  <w:footnote w:type="continuationSeparator" w:id="0">
    <w:p w14:paraId="1B313A4E" w14:textId="77777777" w:rsidR="00A5345C" w:rsidRDefault="00A5345C" w:rsidP="00EB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D6"/>
    <w:rsid w:val="001547C1"/>
    <w:rsid w:val="00347AA4"/>
    <w:rsid w:val="00866BC8"/>
    <w:rsid w:val="00A5345C"/>
    <w:rsid w:val="00E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C18B"/>
  <w15:chartTrackingRefBased/>
  <w15:docId w15:val="{A89602EC-00A8-4619-8957-55923C8F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B26D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B26D6"/>
    <w:rPr>
      <w:sz w:val="20"/>
      <w:szCs w:val="20"/>
    </w:rPr>
  </w:style>
  <w:style w:type="table" w:styleId="Lentelstinklelis">
    <w:name w:val="Table Grid"/>
    <w:aliases w:val="CV table,CV1,Lentelė (default'inė)"/>
    <w:basedOn w:val="prastojilentel"/>
    <w:uiPriority w:val="39"/>
    <w:rsid w:val="00EB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B26D6"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B2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26D6"/>
  </w:style>
  <w:style w:type="paragraph" w:styleId="Porat">
    <w:name w:val="footer"/>
    <w:basedOn w:val="prastasis"/>
    <w:link w:val="PoratDiagrama"/>
    <w:uiPriority w:val="99"/>
    <w:unhideWhenUsed/>
    <w:rsid w:val="00EB2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1863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Čepelienė</dc:creator>
  <cp:keywords/>
  <dc:description/>
  <cp:lastModifiedBy>Saulius Jansonas</cp:lastModifiedBy>
  <cp:revision>2</cp:revision>
  <dcterms:created xsi:type="dcterms:W3CDTF">2024-03-25T07:47:00Z</dcterms:created>
  <dcterms:modified xsi:type="dcterms:W3CDTF">2024-03-25T07:47:00Z</dcterms:modified>
</cp:coreProperties>
</file>