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C0E97" w:rsidR="006D0FCF" w:rsidP="00F5122F" w:rsidRDefault="006D0FCF" w14:paraId="6AD97293" w14:textId="6C351A61">
      <w:pPr>
        <w:tabs>
          <w:tab w:val="left" w:pos="5812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Pr="007C0E97" w:rsidR="00541688" w:rsidP="00541688" w:rsidRDefault="00541688" w14:paraId="43854DFA" w14:textId="77777777">
      <w:pPr>
        <w:jc w:val="center"/>
        <w:rPr>
          <w:b/>
          <w:bCs/>
        </w:rPr>
      </w:pPr>
      <w:r w:rsidRPr="007C0E97">
        <w:rPr>
          <w:b/>
          <w:bCs/>
        </w:rPr>
        <w:t>DESCRIPTION OF QUALITATIVE INDICATORS FOR SERVICE PROVISION</w:t>
      </w:r>
    </w:p>
    <w:p w:rsidRPr="007C0E97" w:rsidR="00541688" w:rsidP="00541688" w:rsidRDefault="00541688" w14:paraId="6C0D4802" w14:textId="77777777">
      <w:pPr>
        <w:rPr>
          <w:b/>
          <w:bCs/>
        </w:rPr>
      </w:pPr>
    </w:p>
    <w:p w:rsidR="000D7F08" w:rsidP="00541688" w:rsidRDefault="000D7F08" w14:paraId="4FAD2204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1"/>
        <w:gridCol w:w="1550"/>
        <w:gridCol w:w="3194"/>
        <w:gridCol w:w="1691"/>
        <w:gridCol w:w="1370"/>
      </w:tblGrid>
      <w:tr w:rsidR="003B450A" w:rsidTr="0005724F" w14:paraId="41337E89" w14:textId="77777777">
        <w:tc>
          <w:tcPr>
            <w:tcW w:w="1731" w:type="dxa"/>
          </w:tcPr>
          <w:p w:rsidR="003B450A" w:rsidP="00541688" w:rsidRDefault="003B450A" w14:paraId="328A86A5" w14:textId="17AAC211">
            <w:pPr>
              <w:rPr>
                <w:b/>
                <w:bCs/>
              </w:rPr>
            </w:pPr>
            <w:r>
              <w:rPr>
                <w:b/>
                <w:bCs/>
              </w:rPr>
              <w:t>Reference</w:t>
            </w:r>
          </w:p>
        </w:tc>
        <w:tc>
          <w:tcPr>
            <w:tcW w:w="1550" w:type="dxa"/>
          </w:tcPr>
          <w:p w:rsidR="003B450A" w:rsidP="00541688" w:rsidRDefault="003B450A" w14:paraId="075C2995" w14:textId="33C547BA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3194" w:type="dxa"/>
          </w:tcPr>
          <w:p w:rsidR="003B450A" w:rsidP="00541688" w:rsidRDefault="003B450A" w14:paraId="75B3F119" w14:textId="01C67005">
            <w:pPr>
              <w:rPr>
                <w:b/>
                <w:bCs/>
              </w:rPr>
            </w:pPr>
            <w:r>
              <w:rPr>
                <w:b/>
                <w:bCs/>
              </w:rPr>
              <w:t>KPI Summary</w:t>
            </w:r>
          </w:p>
        </w:tc>
        <w:tc>
          <w:tcPr>
            <w:tcW w:w="1691" w:type="dxa"/>
          </w:tcPr>
          <w:p w:rsidR="003B450A" w:rsidP="00541688" w:rsidRDefault="003B450A" w14:paraId="13354039" w14:textId="42151D45">
            <w:pPr>
              <w:rPr>
                <w:b/>
                <w:bCs/>
              </w:rPr>
            </w:pPr>
            <w:r>
              <w:rPr>
                <w:b/>
                <w:bCs/>
              </w:rPr>
              <w:t>Target Level</w:t>
            </w:r>
          </w:p>
        </w:tc>
        <w:tc>
          <w:tcPr>
            <w:tcW w:w="1370" w:type="dxa"/>
          </w:tcPr>
          <w:p w:rsidR="003B450A" w:rsidP="00541688" w:rsidRDefault="004B132B" w14:paraId="7CED9329" w14:textId="686D3BDF">
            <w:pPr>
              <w:rPr>
                <w:b/>
                <w:bCs/>
              </w:rPr>
            </w:pPr>
            <w:r>
              <w:rPr>
                <w:b/>
                <w:bCs/>
              </w:rPr>
              <w:t>Frequency</w:t>
            </w:r>
          </w:p>
        </w:tc>
      </w:tr>
      <w:tr w:rsidR="003B450A" w:rsidTr="0005724F" w14:paraId="326650F3" w14:textId="77777777">
        <w:tc>
          <w:tcPr>
            <w:tcW w:w="1731" w:type="dxa"/>
          </w:tcPr>
          <w:p w:rsidRPr="0000412A" w:rsidR="003B450A" w:rsidP="00541688" w:rsidRDefault="004B132B" w14:paraId="6F8A244F" w14:textId="7D0C950A">
            <w:r w:rsidRPr="0000412A">
              <w:t>KPI_GNSS1</w:t>
            </w:r>
          </w:p>
        </w:tc>
        <w:tc>
          <w:tcPr>
            <w:tcW w:w="1550" w:type="dxa"/>
          </w:tcPr>
          <w:p w:rsidRPr="0000412A" w:rsidR="0046038B" w:rsidP="0046038B" w:rsidRDefault="00C20778" w14:paraId="6B801533" w14:textId="3369C1FE">
            <w:r w:rsidRPr="0000412A">
              <w:t>Timeliness of toll declarations – short timeframe</w:t>
            </w:r>
          </w:p>
          <w:p w:rsidRPr="0000412A" w:rsidR="003B450A" w:rsidP="00541688" w:rsidRDefault="003B450A" w14:paraId="219FE309" w14:textId="77777777"/>
        </w:tc>
        <w:tc>
          <w:tcPr>
            <w:tcW w:w="3194" w:type="dxa"/>
          </w:tcPr>
          <w:p w:rsidRPr="0000412A" w:rsidR="003B450A" w:rsidP="00541688" w:rsidRDefault="00CE6FA5" w14:paraId="0DD59F53" w14:textId="77A81847">
            <w:r w:rsidRPr="0000412A">
              <w:t xml:space="preserve">The percentage of toll declaration packages transferred from the EETS Provider to the Toll Charger within </w:t>
            </w:r>
            <w:r w:rsidR="0094548F">
              <w:t>24 hours</w:t>
            </w:r>
            <w:r w:rsidRPr="0000412A">
              <w:t xml:space="preserve"> after the </w:t>
            </w:r>
            <w:r w:rsidR="003C0331">
              <w:t>time</w:t>
            </w:r>
            <w:r w:rsidRPr="0000412A" w:rsidR="003C0331">
              <w:t xml:space="preserve"> </w:t>
            </w:r>
            <w:r w:rsidRPr="0000412A">
              <w:t>where the data was recorded in the OBE.</w:t>
            </w:r>
          </w:p>
        </w:tc>
        <w:tc>
          <w:tcPr>
            <w:tcW w:w="1691" w:type="dxa"/>
          </w:tcPr>
          <w:p w:rsidRPr="0000412A" w:rsidR="003B450A" w:rsidP="00541688" w:rsidRDefault="00645DBB" w14:paraId="574DD877" w14:textId="6594D7F0">
            <w:r w:rsidRPr="0000412A">
              <w:t>9</w:t>
            </w:r>
            <w:r w:rsidR="00535EA8">
              <w:t>7,5</w:t>
            </w:r>
            <w:r w:rsidRPr="0000412A">
              <w:t>%</w:t>
            </w:r>
          </w:p>
        </w:tc>
        <w:tc>
          <w:tcPr>
            <w:tcW w:w="1370" w:type="dxa"/>
          </w:tcPr>
          <w:p w:rsidRPr="0000412A" w:rsidR="003B450A" w:rsidP="00541688" w:rsidRDefault="00645DBB" w14:paraId="6076389A" w14:textId="65E7C4B7">
            <w:r w:rsidRPr="0000412A">
              <w:t>Monthly</w:t>
            </w:r>
          </w:p>
        </w:tc>
      </w:tr>
      <w:tr w:rsidR="00C20778" w:rsidTr="0005724F" w14:paraId="4103FFE4" w14:textId="77777777">
        <w:tc>
          <w:tcPr>
            <w:tcW w:w="1731" w:type="dxa"/>
          </w:tcPr>
          <w:p w:rsidRPr="0000412A" w:rsidR="00C20778" w:rsidP="00C20778" w:rsidRDefault="00C20778" w14:paraId="1A3C4E6D" w14:textId="671D477B">
            <w:r w:rsidRPr="0000412A">
              <w:t>KPI_GNSS2</w:t>
            </w:r>
          </w:p>
        </w:tc>
        <w:tc>
          <w:tcPr>
            <w:tcW w:w="1550" w:type="dxa"/>
          </w:tcPr>
          <w:p w:rsidRPr="0000412A" w:rsidR="00C20778" w:rsidP="00C20778" w:rsidRDefault="00C20778" w14:paraId="0886E56D" w14:textId="54B06334">
            <w:r w:rsidRPr="0000412A">
              <w:t>Timeliness of toll declarations – long timeframe</w:t>
            </w:r>
          </w:p>
          <w:p w:rsidRPr="0000412A" w:rsidR="00C20778" w:rsidP="00C20778" w:rsidRDefault="00C20778" w14:paraId="16995E67" w14:textId="77777777"/>
        </w:tc>
        <w:tc>
          <w:tcPr>
            <w:tcW w:w="3194" w:type="dxa"/>
          </w:tcPr>
          <w:p w:rsidRPr="0000412A" w:rsidR="00C20778" w:rsidP="00C20778" w:rsidRDefault="00645DBB" w14:paraId="14C74EBE" w14:textId="06B84539">
            <w:r w:rsidRPr="0000412A">
              <w:t xml:space="preserve">The percentage of toll declaration packages transferred from the EETS Provider to the Toll Charger within </w:t>
            </w:r>
            <w:r w:rsidR="0094548F">
              <w:t>72 hours</w:t>
            </w:r>
            <w:r w:rsidRPr="0000412A">
              <w:t xml:space="preserve"> after the </w:t>
            </w:r>
            <w:r w:rsidR="003C0331">
              <w:t>time</w:t>
            </w:r>
            <w:r w:rsidRPr="0000412A" w:rsidR="003C0331">
              <w:t xml:space="preserve"> </w:t>
            </w:r>
            <w:r w:rsidRPr="0000412A">
              <w:t>where the data was recorded in the OBE.</w:t>
            </w:r>
          </w:p>
        </w:tc>
        <w:tc>
          <w:tcPr>
            <w:tcW w:w="1691" w:type="dxa"/>
          </w:tcPr>
          <w:p w:rsidRPr="0000412A" w:rsidR="00C20778" w:rsidP="00C20778" w:rsidRDefault="00BF401F" w14:paraId="3D2480C7" w14:textId="7901F3D0">
            <w:r w:rsidRPr="0000412A">
              <w:t>99</w:t>
            </w:r>
            <w:r w:rsidR="00D56D2B">
              <w:t>,</w:t>
            </w:r>
            <w:r w:rsidRPr="0000412A">
              <w:t>95%</w:t>
            </w:r>
          </w:p>
        </w:tc>
        <w:tc>
          <w:tcPr>
            <w:tcW w:w="1370" w:type="dxa"/>
          </w:tcPr>
          <w:p w:rsidRPr="0000412A" w:rsidR="00C20778" w:rsidP="00C20778" w:rsidRDefault="00645DBB" w14:paraId="3C6D1D26" w14:textId="40873C4A">
            <w:r w:rsidRPr="0000412A">
              <w:t>Monthly</w:t>
            </w:r>
          </w:p>
        </w:tc>
      </w:tr>
      <w:tr w:rsidR="00C20778" w:rsidTr="0005724F" w14:paraId="5E49F150" w14:textId="77777777">
        <w:tc>
          <w:tcPr>
            <w:tcW w:w="1731" w:type="dxa"/>
          </w:tcPr>
          <w:p w:rsidRPr="0000412A" w:rsidR="00C20778" w:rsidP="00C20778" w:rsidRDefault="00BF401F" w14:paraId="517C9370" w14:textId="3D05F61D">
            <w:r w:rsidRPr="0000412A">
              <w:t>KPI</w:t>
            </w:r>
            <w:r w:rsidR="00981227">
              <w:t>_A</w:t>
            </w:r>
            <w:r w:rsidRPr="0000412A">
              <w:t>NOMALY</w:t>
            </w:r>
          </w:p>
        </w:tc>
        <w:tc>
          <w:tcPr>
            <w:tcW w:w="1550" w:type="dxa"/>
          </w:tcPr>
          <w:p w:rsidRPr="0000412A" w:rsidR="00C20778" w:rsidP="00C20778" w:rsidRDefault="00622BBB" w14:paraId="3330FFB6" w14:textId="0E629435">
            <w:r w:rsidRPr="0000412A">
              <w:t>Detection of OBE anomaly</w:t>
            </w:r>
          </w:p>
        </w:tc>
        <w:tc>
          <w:tcPr>
            <w:tcW w:w="3194" w:type="dxa"/>
          </w:tcPr>
          <w:p w:rsidRPr="0000412A" w:rsidR="00C20778" w:rsidP="00C20778" w:rsidRDefault="00622BBB" w14:paraId="79CEC2A7" w14:textId="145373B3">
            <w:r w:rsidRPr="0000412A">
              <w:t>Events where the Toll Charger detects</w:t>
            </w:r>
            <w:r w:rsidR="00715CE4">
              <w:t xml:space="preserve"> via ANPR</w:t>
            </w:r>
            <w:r w:rsidRPr="0000412A">
              <w:t xml:space="preserve"> </w:t>
            </w:r>
            <w:r>
              <w:t>a vehicle</w:t>
            </w:r>
            <w:r w:rsidR="0047107E">
              <w:t xml:space="preserve"> being on the </w:t>
            </w:r>
            <w:r w:rsidR="005C0B4F">
              <w:t xml:space="preserve">Access List </w:t>
            </w:r>
            <w:r w:rsidR="00D236CB">
              <w:t>i</w:t>
            </w:r>
            <w:r w:rsidRPr="0000412A">
              <w:t>n a vehicle passage at a roadside enforcement point, but Toll Charger ha</w:t>
            </w:r>
            <w:r w:rsidR="00D236CB">
              <w:t>s</w:t>
            </w:r>
            <w:r w:rsidRPr="0000412A">
              <w:t xml:space="preserve"> not received a toll declaration from the EETS Provider within </w:t>
            </w:r>
            <w:r w:rsidR="0094548F">
              <w:t>24 hours</w:t>
            </w:r>
            <w:r w:rsidR="00D56B08">
              <w:t xml:space="preserve"> from</w:t>
            </w:r>
            <w:r w:rsidR="00497684">
              <w:t xml:space="preserve"> when </w:t>
            </w:r>
            <w:r w:rsidRPr="0000412A" w:rsidR="00497684">
              <w:t>the data was recorded in the OBE</w:t>
            </w:r>
            <w:r w:rsidR="00497684">
              <w:t>,</w:t>
            </w:r>
            <w:r w:rsidRPr="0000412A">
              <w:t xml:space="preserve"> which can be matched to the enforced road segment.</w:t>
            </w:r>
          </w:p>
        </w:tc>
        <w:tc>
          <w:tcPr>
            <w:tcW w:w="1691" w:type="dxa"/>
          </w:tcPr>
          <w:p w:rsidRPr="0000412A" w:rsidR="00C20778" w:rsidP="00C20778" w:rsidRDefault="005F1B4F" w14:paraId="0C0E8332" w14:textId="2A318D6C">
            <w:r>
              <w:t>0,1</w:t>
            </w:r>
            <w:r w:rsidR="003E41D8">
              <w:t>0</w:t>
            </w:r>
            <w:r>
              <w:t>%</w:t>
            </w:r>
          </w:p>
        </w:tc>
        <w:tc>
          <w:tcPr>
            <w:tcW w:w="1370" w:type="dxa"/>
          </w:tcPr>
          <w:p w:rsidRPr="0000412A" w:rsidR="00C20778" w:rsidP="00C20778" w:rsidRDefault="005F1B4F" w14:paraId="23CBD8D4" w14:textId="751DAEC4">
            <w:r>
              <w:t>Monthly</w:t>
            </w:r>
          </w:p>
        </w:tc>
      </w:tr>
      <w:tr w:rsidR="00C20778" w:rsidTr="0005724F" w14:paraId="17CC2641" w14:textId="77777777">
        <w:tc>
          <w:tcPr>
            <w:tcW w:w="1731" w:type="dxa"/>
          </w:tcPr>
          <w:p w:rsidRPr="0000412A" w:rsidR="00C20778" w:rsidP="00C20778" w:rsidRDefault="001B1B4E" w14:paraId="55BB8206" w14:textId="50678927">
            <w:r>
              <w:t>KPI</w:t>
            </w:r>
            <w:r w:rsidR="00981227">
              <w:t>_</w:t>
            </w:r>
            <w:r>
              <w:t>TD</w:t>
            </w:r>
          </w:p>
        </w:tc>
        <w:tc>
          <w:tcPr>
            <w:tcW w:w="1550" w:type="dxa"/>
          </w:tcPr>
          <w:p w:rsidRPr="0000412A" w:rsidR="00C20778" w:rsidP="00C20778" w:rsidRDefault="001B1B4E" w14:paraId="1577F29B" w14:textId="5E5F4F4E">
            <w:r w:rsidRPr="001B1B4E">
              <w:t>Data format quality of toll declarations</w:t>
            </w:r>
          </w:p>
        </w:tc>
        <w:tc>
          <w:tcPr>
            <w:tcW w:w="3194" w:type="dxa"/>
          </w:tcPr>
          <w:p w:rsidRPr="0000412A" w:rsidR="00C20778" w:rsidP="00C20778" w:rsidRDefault="001B1B4E" w14:paraId="35A2D04B" w14:textId="1BE43BE9">
            <w:r>
              <w:t>T</w:t>
            </w:r>
            <w:r w:rsidRPr="001B1B4E">
              <w:t>he percentages of toll declaration packages transferred from the EETS Provider to the Toll Charger which must comply with data formats and ADU requirements.</w:t>
            </w:r>
          </w:p>
        </w:tc>
        <w:tc>
          <w:tcPr>
            <w:tcW w:w="1691" w:type="dxa"/>
          </w:tcPr>
          <w:p w:rsidRPr="0000412A" w:rsidR="00C20778" w:rsidP="00C20778" w:rsidRDefault="00071E5B" w14:paraId="421D98A0" w14:textId="5AF374DD">
            <w:r>
              <w:t>99</w:t>
            </w:r>
            <w:r w:rsidR="00D56D2B">
              <w:t>,</w:t>
            </w:r>
            <w:r>
              <w:t>99%</w:t>
            </w:r>
          </w:p>
        </w:tc>
        <w:tc>
          <w:tcPr>
            <w:tcW w:w="1370" w:type="dxa"/>
          </w:tcPr>
          <w:p w:rsidRPr="0000412A" w:rsidR="00C20778" w:rsidP="00C20778" w:rsidRDefault="00071E5B" w14:paraId="047501A1" w14:textId="7136EE9F">
            <w:r>
              <w:t>Monthly</w:t>
            </w:r>
          </w:p>
        </w:tc>
      </w:tr>
      <w:tr w:rsidR="00071E5B" w:rsidTr="0005724F" w14:paraId="5AFE6E64" w14:textId="77777777">
        <w:tc>
          <w:tcPr>
            <w:tcW w:w="1731" w:type="dxa"/>
          </w:tcPr>
          <w:p w:rsidR="00071E5B" w:rsidP="00C20778" w:rsidRDefault="00F91CA2" w14:paraId="6175A100" w14:textId="741B06B6">
            <w:r>
              <w:t>KPI_WL</w:t>
            </w:r>
          </w:p>
        </w:tc>
        <w:tc>
          <w:tcPr>
            <w:tcW w:w="1550" w:type="dxa"/>
          </w:tcPr>
          <w:p w:rsidRPr="001B1B4E" w:rsidR="00071E5B" w:rsidP="00C20778" w:rsidRDefault="000A320E" w14:paraId="78AE6662" w14:textId="752EA23E">
            <w:r>
              <w:t xml:space="preserve">Data Quality of </w:t>
            </w:r>
            <w:r w:rsidR="005C0B4F">
              <w:t xml:space="preserve">Access </w:t>
            </w:r>
            <w:r>
              <w:t>Lists</w:t>
            </w:r>
          </w:p>
        </w:tc>
        <w:tc>
          <w:tcPr>
            <w:tcW w:w="3194" w:type="dxa"/>
          </w:tcPr>
          <w:p w:rsidR="00071E5B" w:rsidP="00C20778" w:rsidRDefault="000A320E" w14:paraId="559ABCFB" w14:textId="4B8720DE">
            <w:r w:rsidRPr="00305E94">
              <w:t xml:space="preserve">Events where the Toll Charger </w:t>
            </w:r>
            <w:r>
              <w:t xml:space="preserve">receives a </w:t>
            </w:r>
            <w:r w:rsidR="001E45C7">
              <w:t xml:space="preserve">toll declaration for a vehicle which is not on the </w:t>
            </w:r>
            <w:r w:rsidR="005C0B4F">
              <w:t xml:space="preserve">Access List </w:t>
            </w:r>
            <w:r w:rsidR="004734B1">
              <w:t>submitted within the last 24 hours</w:t>
            </w:r>
          </w:p>
        </w:tc>
        <w:tc>
          <w:tcPr>
            <w:tcW w:w="1691" w:type="dxa"/>
          </w:tcPr>
          <w:p w:rsidRPr="004734B1" w:rsidR="00CA5D52" w:rsidP="00C20778" w:rsidRDefault="004734B1" w14:paraId="2C50BAEF" w14:textId="4A9C9150">
            <w:pPr>
              <w:rPr>
                <w:lang w:val="en-US"/>
              </w:rPr>
            </w:pPr>
            <w:r>
              <w:t xml:space="preserve">0,1 </w:t>
            </w:r>
            <w:r>
              <w:rPr>
                <w:lang w:val="en-US"/>
              </w:rPr>
              <w:t>%</w:t>
            </w:r>
          </w:p>
        </w:tc>
        <w:tc>
          <w:tcPr>
            <w:tcW w:w="1370" w:type="dxa"/>
          </w:tcPr>
          <w:p w:rsidR="00071E5B" w:rsidP="00C20778" w:rsidRDefault="00F91CA2" w14:paraId="30201CD2" w14:textId="2D4BA2A1">
            <w:r>
              <w:t>Monthly</w:t>
            </w:r>
          </w:p>
        </w:tc>
      </w:tr>
      <w:tr w:rsidR="00CB1DE1" w:rsidTr="0005724F" w14:paraId="7696881C" w14:textId="15DC3F3E">
        <w:tc>
          <w:tcPr>
            <w:tcW w:w="1731" w:type="dxa"/>
          </w:tcPr>
          <w:p w:rsidR="00CB1DE1" w:rsidP="00CB1DE1" w:rsidRDefault="00CB1DE1" w14:paraId="68733834" w14:textId="6916ABF2">
            <w:r>
              <w:t>KPI_BL</w:t>
            </w:r>
          </w:p>
        </w:tc>
        <w:tc>
          <w:tcPr>
            <w:tcW w:w="1550" w:type="dxa"/>
          </w:tcPr>
          <w:p w:rsidR="00CB1DE1" w:rsidP="00CB1DE1" w:rsidRDefault="00CB1DE1" w14:paraId="2740129C" w14:textId="62CE166A">
            <w:r>
              <w:t xml:space="preserve">Data Quality of </w:t>
            </w:r>
            <w:r w:rsidR="005C0B4F">
              <w:t xml:space="preserve">Block </w:t>
            </w:r>
            <w:r>
              <w:t>Lists</w:t>
            </w:r>
          </w:p>
        </w:tc>
        <w:tc>
          <w:tcPr>
            <w:tcW w:w="3194" w:type="dxa"/>
          </w:tcPr>
          <w:p w:rsidRPr="00100FC6" w:rsidR="00CB1DE1" w:rsidP="00CB1DE1" w:rsidRDefault="00CB1DE1" w14:paraId="6016BDD7" w14:textId="3F3B9678">
            <w:r w:rsidRPr="00305E94">
              <w:t xml:space="preserve">Events where the Toll Charger </w:t>
            </w:r>
            <w:r>
              <w:t xml:space="preserve">receives a toll declaration for a vehicle which is on the </w:t>
            </w:r>
            <w:r w:rsidR="005C0B4F">
              <w:t xml:space="preserve">Block </w:t>
            </w:r>
            <w:r>
              <w:t>List</w:t>
            </w:r>
          </w:p>
        </w:tc>
        <w:tc>
          <w:tcPr>
            <w:tcW w:w="1691" w:type="dxa"/>
          </w:tcPr>
          <w:p w:rsidR="00CB1DE1" w:rsidP="00CB1DE1" w:rsidRDefault="004734B1" w14:paraId="637DD2C5" w14:textId="11700063">
            <w:r>
              <w:t>0,01 %</w:t>
            </w:r>
          </w:p>
        </w:tc>
        <w:tc>
          <w:tcPr>
            <w:tcW w:w="1370" w:type="dxa"/>
          </w:tcPr>
          <w:p w:rsidR="00CB1DE1" w:rsidP="00CB1DE1" w:rsidRDefault="00CB1DE1" w14:paraId="6D0BBE75" w14:textId="2CB4242B">
            <w:r>
              <w:t>Monthly</w:t>
            </w:r>
          </w:p>
        </w:tc>
      </w:tr>
      <w:tr w:rsidR="0005724F" w:rsidTr="0005724F" w14:paraId="39A808B5" w14:textId="77777777">
        <w:tc>
          <w:tcPr>
            <w:tcW w:w="1731" w:type="dxa"/>
          </w:tcPr>
          <w:p w:rsidR="0005724F" w:rsidP="0005724F" w:rsidRDefault="0005724F" w14:paraId="313D88D5" w14:textId="55DD2B1D">
            <w:r>
              <w:t>KPI_LST</w:t>
            </w:r>
          </w:p>
        </w:tc>
        <w:tc>
          <w:tcPr>
            <w:tcW w:w="1550" w:type="dxa"/>
          </w:tcPr>
          <w:p w:rsidR="0005724F" w:rsidP="0005724F" w:rsidRDefault="0005724F" w14:paraId="20B730A1" w14:textId="20CBDB7E">
            <w:r>
              <w:t>Access and Block list submission</w:t>
            </w:r>
          </w:p>
        </w:tc>
        <w:tc>
          <w:tcPr>
            <w:tcW w:w="3194" w:type="dxa"/>
          </w:tcPr>
          <w:p w:rsidRPr="00305E94" w:rsidR="0005724F" w:rsidP="0005724F" w:rsidRDefault="0005724F" w14:paraId="2ED15922" w14:textId="47B03016">
            <w:r>
              <w:t>Events where Access and Block lists are submitted one per 24 hours</w:t>
            </w:r>
          </w:p>
        </w:tc>
        <w:tc>
          <w:tcPr>
            <w:tcW w:w="1691" w:type="dxa"/>
          </w:tcPr>
          <w:p w:rsidR="0005724F" w:rsidP="0005724F" w:rsidRDefault="0005724F" w14:paraId="305537DE" w14:textId="4D31A87D">
            <w:r>
              <w:t>100</w:t>
            </w:r>
            <w:r>
              <w:rPr>
                <w:lang w:val="en-US"/>
              </w:rPr>
              <w:t>%</w:t>
            </w:r>
          </w:p>
        </w:tc>
        <w:tc>
          <w:tcPr>
            <w:tcW w:w="1370" w:type="dxa"/>
          </w:tcPr>
          <w:p w:rsidR="0005724F" w:rsidP="0005724F" w:rsidRDefault="0005724F" w14:paraId="504D1EEB" w14:textId="05199DDA">
            <w:r>
              <w:t>Monthly</w:t>
            </w:r>
          </w:p>
        </w:tc>
      </w:tr>
      <w:tr w:rsidR="0005724F" w:rsidTr="0005724F" w14:paraId="2344D018" w14:textId="77777777">
        <w:tc>
          <w:tcPr>
            <w:tcW w:w="1731" w:type="dxa"/>
          </w:tcPr>
          <w:p w:rsidR="0005724F" w:rsidP="0005724F" w:rsidRDefault="0005724F" w14:paraId="5B9E65F1" w14:textId="5A4D455D">
            <w:r>
              <w:t>KPI_AV</w:t>
            </w:r>
          </w:p>
        </w:tc>
        <w:tc>
          <w:tcPr>
            <w:tcW w:w="1550" w:type="dxa"/>
          </w:tcPr>
          <w:p w:rsidR="0005724F" w:rsidP="0005724F" w:rsidRDefault="0005724F" w14:paraId="66B9AAC9" w14:textId="77E79BB0">
            <w:r>
              <w:t>Availability of the EETS Provider system</w:t>
            </w:r>
          </w:p>
        </w:tc>
        <w:tc>
          <w:tcPr>
            <w:tcW w:w="3194" w:type="dxa"/>
          </w:tcPr>
          <w:p w:rsidRPr="00305E94" w:rsidR="0005724F" w:rsidP="0005724F" w:rsidRDefault="0005724F" w14:paraId="7BD9D1DC" w14:textId="4864C047">
            <w:r w:rsidRPr="00100FC6">
              <w:t>The target value of interface availability of the EETS Provider within one (1) calendar month according to interface specifications.</w:t>
            </w:r>
          </w:p>
        </w:tc>
        <w:tc>
          <w:tcPr>
            <w:tcW w:w="1691" w:type="dxa"/>
          </w:tcPr>
          <w:p w:rsidR="0005724F" w:rsidP="0005724F" w:rsidRDefault="0005724F" w14:paraId="6E54D3E3" w14:textId="66443EB2">
            <w:r>
              <w:t>99,90%</w:t>
            </w:r>
          </w:p>
        </w:tc>
        <w:tc>
          <w:tcPr>
            <w:tcW w:w="1370" w:type="dxa"/>
          </w:tcPr>
          <w:p w:rsidR="0005724F" w:rsidP="0005724F" w:rsidRDefault="0005724F" w14:paraId="4751AC1E" w14:textId="5190564C">
            <w:r>
              <w:t>Monthly</w:t>
            </w:r>
          </w:p>
        </w:tc>
      </w:tr>
    </w:tbl>
    <w:p w:rsidRPr="0000412A" w:rsidR="000D7F08" w:rsidP="00541688" w:rsidRDefault="000D7F08" w14:paraId="2E61190C" w14:textId="77777777"/>
    <w:p w:rsidRPr="0000412A" w:rsidR="000D7F08" w:rsidP="00541688" w:rsidRDefault="000D7F08" w14:paraId="50A2F4F8" w14:textId="77777777"/>
    <w:p w:rsidR="00BA6176" w:rsidP="00541688" w:rsidRDefault="00BA6176" w14:paraId="698131F3" w14:textId="77777777"/>
    <w:p w:rsidRPr="0000412A" w:rsidR="00BA6176" w:rsidP="00541688" w:rsidRDefault="00BA6176" w14:paraId="244CFE58" w14:textId="77777777"/>
    <w:p w:rsidRPr="0000412A" w:rsidR="009E6718" w:rsidP="00541688" w:rsidRDefault="009E6718" w14:paraId="2554478E" w14:textId="77777777"/>
    <w:p w:rsidRPr="0000412A" w:rsidR="000D7F08" w:rsidP="00541688" w:rsidRDefault="000D7F08" w14:paraId="6715DC35" w14:textId="77777777"/>
    <w:p w:rsidRPr="0000412A" w:rsidR="000D7F08" w:rsidP="00541688" w:rsidRDefault="000D7F08" w14:paraId="20D487D5" w14:textId="77777777"/>
    <w:p w:rsidRPr="0000412A" w:rsidR="000D7F08" w:rsidP="00541688" w:rsidRDefault="000D7F08" w14:paraId="4A89F864" w14:textId="77777777"/>
    <w:p w:rsidR="000D7F08" w:rsidP="00541688" w:rsidRDefault="000D7F08" w14:paraId="5053D06B" w14:textId="77777777">
      <w:pPr>
        <w:rPr>
          <w:b/>
          <w:bCs/>
        </w:rPr>
      </w:pPr>
    </w:p>
    <w:p w:rsidRPr="007C0E97" w:rsidR="00A02ED6" w:rsidP="00541688" w:rsidRDefault="00A02ED6" w14:paraId="027BEB2E" w14:textId="69E090BB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</w:p>
    <w:sectPr w:rsidRPr="007C0E97" w:rsidR="00A02ED6" w:rsidSect="00F512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 w:orient="portrait" w:code="9"/>
      <w:pgMar w:top="426" w:right="873" w:bottom="567" w:left="1486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7C0E97" w:rsidR="00573DCB" w:rsidP="00B24570" w:rsidRDefault="00573DCB" w14:paraId="32DD3F50" w14:textId="77777777">
      <w:pPr>
        <w:spacing w:after="0" w:line="240" w:lineRule="auto"/>
      </w:pPr>
      <w:r w:rsidRPr="007C0E97">
        <w:separator/>
      </w:r>
    </w:p>
  </w:endnote>
  <w:endnote w:type="continuationSeparator" w:id="0">
    <w:p w:rsidRPr="007C0E97" w:rsidR="00573DCB" w:rsidP="00B24570" w:rsidRDefault="00573DCB" w14:paraId="6973A8B3" w14:textId="77777777">
      <w:pPr>
        <w:spacing w:after="0" w:line="240" w:lineRule="auto"/>
      </w:pPr>
      <w:r w:rsidRPr="007C0E97">
        <w:continuationSeparator/>
      </w:r>
    </w:p>
  </w:endnote>
  <w:endnote w:type="continuationNotice" w:id="1">
    <w:p w:rsidRPr="007C0E97" w:rsidR="00573DCB" w:rsidRDefault="00573DCB" w14:paraId="6415ED6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3D2F" w:rsidRDefault="00BE3D2F" w14:paraId="300C665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731"/>
    </w:tblGrid>
    <w:tr xmlns:wp14="http://schemas.microsoft.com/office/word/2010/wordml" w:rsidTr="0005724F" w14:paraId="672A6659" wp14:textId="77777777">
      <w:tc>
        <w:tcPr>
          <w:tcW w:w="1731" w:type="dxa"/>
        </w:tcPr>
        <w:p w:rsidRPr="007C0E97" w:rsidR="00503E0A" w:rsidP="00780EE1" w:rsidRDefault="00503E0A" w14:paraId="401F7A0E" w14:textId="77777777">
          <w:pPr>
            <w:pStyle w:val="Header"/>
            <w:ind w:left="-115"/>
          </w:pPr>
        </w:p>
      </w:tc>
      <w:tc>
        <w:tcPr>
          <w:tcW w:w="1731" w:type="dxa"/>
        </w:tcPr>
        <w:p w:rsidRPr="007C0E97" w:rsidR="00503E0A" w:rsidP="00780EE1" w:rsidRDefault="00503E0A" w14:paraId="129A3365" w14:textId="77777777">
          <w:pPr>
            <w:pStyle w:val="Header"/>
            <w:jc w:val="center"/>
          </w:pPr>
        </w:p>
      </w:tc>
      <w:tc>
        <w:tcPr>
          <w:tcW w:w="1731" w:type="dxa"/>
        </w:tcPr>
        <w:p w:rsidRPr="007C0E97" w:rsidR="00503E0A" w:rsidP="00780EE1" w:rsidRDefault="00503E0A" w14:paraId="40B26808" w14:textId="77777777">
          <w:pPr>
            <w:pStyle w:val="Header"/>
            <w:ind w:right="-115"/>
            <w:jc w:val="right"/>
          </w:pPr>
        </w:p>
      </w:tc>
    </w:tr>
  </w:tbl>
  <w:p w:rsidRPr="007C0E97" w:rsidR="00503E0A" w:rsidP="00780EE1" w:rsidRDefault="00503E0A" w14:paraId="209F6CC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731"/>
    </w:tblGrid>
    <w:tr xmlns:wp14="http://schemas.microsoft.com/office/word/2010/wordml" w:rsidTr="0005724F" w14:paraId="5DAB6C7B" wp14:textId="77777777">
      <w:tc>
        <w:tcPr>
          <w:tcW w:w="1731" w:type="dxa"/>
        </w:tcPr>
        <w:p w:rsidRPr="007C0E97" w:rsidR="00503E0A" w:rsidP="00780EE1" w:rsidRDefault="00503E0A" w14:paraId="4CABFF63" w14:textId="77777777">
          <w:pPr>
            <w:pStyle w:val="Header"/>
            <w:ind w:left="-115"/>
          </w:pPr>
        </w:p>
      </w:tc>
      <w:tc>
        <w:tcPr>
          <w:tcW w:w="1731" w:type="dxa"/>
        </w:tcPr>
        <w:p w:rsidRPr="007C0E97" w:rsidR="00503E0A" w:rsidP="00780EE1" w:rsidRDefault="00503E0A" w14:paraId="7D715CC5" w14:textId="77777777">
          <w:pPr>
            <w:pStyle w:val="Header"/>
            <w:jc w:val="center"/>
          </w:pPr>
        </w:p>
      </w:tc>
      <w:tc>
        <w:tcPr>
          <w:tcW w:w="1731" w:type="dxa"/>
        </w:tcPr>
        <w:p w:rsidRPr="007C0E97" w:rsidR="00503E0A" w:rsidP="00780EE1" w:rsidRDefault="00503E0A" w14:paraId="0100E051" w14:textId="77777777">
          <w:pPr>
            <w:pStyle w:val="Header"/>
            <w:ind w:right="-115"/>
            <w:jc w:val="right"/>
          </w:pPr>
        </w:p>
      </w:tc>
    </w:tr>
  </w:tbl>
  <w:p w:rsidRPr="007C0E97" w:rsidR="00503E0A" w:rsidP="00780EE1" w:rsidRDefault="00503E0A" w14:paraId="2EFB30C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7C0E97" w:rsidR="00573DCB" w:rsidP="00B24570" w:rsidRDefault="00573DCB" w14:paraId="5B8C6091" w14:textId="77777777">
      <w:pPr>
        <w:spacing w:after="0" w:line="240" w:lineRule="auto"/>
      </w:pPr>
      <w:r w:rsidRPr="007C0E97">
        <w:separator/>
      </w:r>
    </w:p>
  </w:footnote>
  <w:footnote w:type="continuationSeparator" w:id="0">
    <w:p w:rsidRPr="007C0E97" w:rsidR="00573DCB" w:rsidP="00B24570" w:rsidRDefault="00573DCB" w14:paraId="40EFED63" w14:textId="77777777">
      <w:pPr>
        <w:spacing w:after="0" w:line="240" w:lineRule="auto"/>
      </w:pPr>
      <w:r w:rsidRPr="007C0E97">
        <w:continuationSeparator/>
      </w:r>
    </w:p>
  </w:footnote>
  <w:footnote w:type="continuationNotice" w:id="1">
    <w:p w:rsidRPr="007C0E97" w:rsidR="00573DCB" w:rsidRDefault="00573DCB" w14:paraId="01187DD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3D2F" w:rsidRDefault="00BE3D2F" w14:paraId="2EDAB03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731"/>
    </w:tblGrid>
    <w:tr xmlns:wp14="http://schemas.microsoft.com/office/word/2010/wordml" w:rsidTr="0005724F" w14:paraId="0A37501D" wp14:textId="77777777">
      <w:tc>
        <w:tcPr>
          <w:tcW w:w="1731" w:type="dxa"/>
        </w:tcPr>
        <w:p w:rsidRPr="007C0E97" w:rsidR="00503E0A" w:rsidP="00780EE1" w:rsidRDefault="00503E0A" w14:paraId="0FB7E837" w14:textId="77777777">
          <w:pPr>
            <w:pStyle w:val="Header"/>
            <w:ind w:left="-115"/>
          </w:pPr>
        </w:p>
      </w:tc>
      <w:tc>
        <w:tcPr>
          <w:tcW w:w="1731" w:type="dxa"/>
        </w:tcPr>
        <w:p w:rsidRPr="007C0E97" w:rsidR="00503E0A" w:rsidP="00780EE1" w:rsidRDefault="00503E0A" w14:paraId="1D544E4A" w14:textId="77777777">
          <w:pPr>
            <w:pStyle w:val="Header"/>
            <w:jc w:val="center"/>
          </w:pPr>
        </w:p>
      </w:tc>
    </w:tr>
  </w:tbl>
  <w:tbl>
    <w:tblPr>
      <w:tblStyle w:val="TableGrid"/>
      <w:tblW w:w="0" w:type="auto"/>
      <w:tblLook w:val="04A0" w:firstRow="1" w:lastRow="0" w:firstColumn="1" w:lastColumn="0" w:noHBand="0" w:noVBand="1"/>
    </w:tblPr>
    <w:tblGrid/>
    <w:tr w:rsidR="00780EE1" w:rsidTr="0005724F" w14:paraId="417E5BD2" w14:textId="77777777">
      <w:tc>
        <w:tcPr>
          <w:tcW w:w="1731" w:type="dxa"/>
          <w:gridSpan w:val="0"/>
        </w:tcPr>
        <w:p w:rsidRPr="007C0E97" w:rsidR="00503E0A" w:rsidP="00780EE1" w:rsidRDefault="00503E0A" w14:paraId="464C2B39" w14:textId="77777777">
          <w:pPr>
            <w:pStyle w:val="Header"/>
            <w:ind w:right="-115"/>
            <w:jc w:val="right"/>
          </w:pPr>
        </w:p>
      </w:tc>
    </w:tr>
  </w:tbl>
  <w:p w:rsidRPr="007C0E97" w:rsidR="00503E0A" w:rsidP="00780EE1" w:rsidRDefault="00503E0A" w14:paraId="2203DB4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Pr="007C0E97" w:rsidR="00503E0A" w:rsidP="00780EE1" w:rsidRDefault="00503E0A" w14:paraId="3968A84F" w14:textId="77777777">
    <w:pPr>
      <w:pStyle w:val="Header"/>
    </w:pPr>
  </w:p>
  <w:p w:rsidRPr="007C0E97" w:rsidR="00BE3ED2" w:rsidP="205A7866" w:rsidRDefault="27B62972" w14:paraId="468DC401" w14:textId="1E4EA46D">
    <w:pPr>
      <w:pStyle w:val="Header"/>
      <w:tabs>
        <w:tab w:val="clear" w:pos="4680"/>
        <w:tab w:val="center" w:pos="3544"/>
      </w:tabs>
    </w:pPr>
    <w:r w:rsidR="205A7866">
      <w:drawing>
        <wp:inline wp14:editId="46576A41" wp14:anchorId="25975A2C">
          <wp:extent cx="1452149" cy="272099"/>
          <wp:effectExtent l="0" t="0" r="0" b="0"/>
          <wp:docPr id="79650832" name="Picture 1" descr="Via Lietuva - VKC | Valdymo koordinavimo centras">
            <a:extLst>
              <a:ext uri="{FF2B5EF4-FFF2-40B4-BE49-F238E27FC236}">
                <a16:creationId xmlns:a16="http://schemas.microsoft.com/office/drawing/2014/main" id="{7133E5BD-C975-4292-B021-9F265D36E27B}"/>
              </a:ext>
            </a:extLst>
          </wp:docPr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" descr="Via Lietuva - VKC | Valdymo koordinavimo centras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0">
                    <a:off x="0" y="0"/>
                    <a:ext cx="1452149" cy="272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205A7866">
      <w:rPr/>
      <w:t>EETS Domain Statement of the Republic of Lithuania</w:t>
    </w:r>
  </w:p>
  <w:p w:rsidRPr="007C0E97" w:rsidR="00503E0A" w:rsidRDefault="00BE3ED2" w14:paraId="2FB308EF" w14:textId="7064F610">
    <w:pPr>
      <w:pStyle w:val="Header"/>
      <w:tabs>
        <w:tab w:val="clear" w:pos="9360"/>
        <w:tab w:val="right" w:pos="9498"/>
      </w:tabs>
      <w:jc w:val="right"/>
      <w:pPrChange w:author="Lina Makuškienė" w:date="2026-06-22T05:26:00Z" w16du:dateUtc="2026-06-22T12:26:00Z" w:id="1">
        <w:pPr>
          <w:pStyle w:val="Header"/>
          <w:tabs>
            <w:tab w:val="clear" w:pos="9360"/>
            <w:tab w:val="right" w:pos="9498"/>
          </w:tabs>
        </w:pPr>
      </w:pPrChange>
    </w:pPr>
    <w:r w:rsidRPr="007C0E97">
      <w:t xml:space="preserve">Annex </w:t>
    </w:r>
    <w:r w:rsidR="3C377551">
      <w:t>No.</w:t>
    </w:r>
    <w:r w:rsidR="1F678C97">
      <w:t xml:space="preserve"> </w:t>
    </w:r>
    <w:r w:rsidRPr="007C0E97" w:rsidR="00541688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77E2A"/>
    <w:multiLevelType w:val="hybridMultilevel"/>
    <w:tmpl w:val="A1CA4C84"/>
    <w:lvl w:ilvl="0" w:tplc="F0185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C74BB44">
      <w:start w:val="1"/>
      <w:numFmt w:val="decimal"/>
      <w:lvlText w:val="%2."/>
      <w:lvlJc w:val="left"/>
      <w:pPr>
        <w:ind w:left="1647" w:hanging="360"/>
      </w:pPr>
      <w:rPr>
        <w:rFonts w:ascii="Times New Roman" w:hAnsi="Times New Roman" w:eastAsia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478898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trackRevisions w:val="true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A8174A"/>
    <w:rsid w:val="0000412A"/>
    <w:rsid w:val="00016D94"/>
    <w:rsid w:val="0005724F"/>
    <w:rsid w:val="000611B5"/>
    <w:rsid w:val="00063797"/>
    <w:rsid w:val="00071E5B"/>
    <w:rsid w:val="000967F3"/>
    <w:rsid w:val="000A320E"/>
    <w:rsid w:val="000A3F9E"/>
    <w:rsid w:val="000D7F08"/>
    <w:rsid w:val="00100FC6"/>
    <w:rsid w:val="00115021"/>
    <w:rsid w:val="00123492"/>
    <w:rsid w:val="00132F38"/>
    <w:rsid w:val="00150D42"/>
    <w:rsid w:val="00196AD0"/>
    <w:rsid w:val="001B1B4E"/>
    <w:rsid w:val="001C4063"/>
    <w:rsid w:val="001E39EA"/>
    <w:rsid w:val="001E45C7"/>
    <w:rsid w:val="00226C59"/>
    <w:rsid w:val="00265FC5"/>
    <w:rsid w:val="002D3DC7"/>
    <w:rsid w:val="002D59A8"/>
    <w:rsid w:val="003114DE"/>
    <w:rsid w:val="00372BF5"/>
    <w:rsid w:val="003769DA"/>
    <w:rsid w:val="003B450A"/>
    <w:rsid w:val="003C0331"/>
    <w:rsid w:val="003D7BBD"/>
    <w:rsid w:val="003E41D8"/>
    <w:rsid w:val="004577E9"/>
    <w:rsid w:val="0046038B"/>
    <w:rsid w:val="00467F17"/>
    <w:rsid w:val="0047107E"/>
    <w:rsid w:val="004734B1"/>
    <w:rsid w:val="00491404"/>
    <w:rsid w:val="00493B07"/>
    <w:rsid w:val="004948AA"/>
    <w:rsid w:val="00497684"/>
    <w:rsid w:val="004B132B"/>
    <w:rsid w:val="004C49CC"/>
    <w:rsid w:val="004D5A58"/>
    <w:rsid w:val="004F57F6"/>
    <w:rsid w:val="0050335B"/>
    <w:rsid w:val="00503E0A"/>
    <w:rsid w:val="0051702F"/>
    <w:rsid w:val="00521F39"/>
    <w:rsid w:val="00527C37"/>
    <w:rsid w:val="00535EA8"/>
    <w:rsid w:val="00541688"/>
    <w:rsid w:val="00545CBE"/>
    <w:rsid w:val="005575DB"/>
    <w:rsid w:val="00562702"/>
    <w:rsid w:val="00573DCB"/>
    <w:rsid w:val="005A41A6"/>
    <w:rsid w:val="005C0B4F"/>
    <w:rsid w:val="005D0666"/>
    <w:rsid w:val="005D1FC6"/>
    <w:rsid w:val="005D40E6"/>
    <w:rsid w:val="005E508C"/>
    <w:rsid w:val="005F1B4F"/>
    <w:rsid w:val="006167AB"/>
    <w:rsid w:val="00622BBB"/>
    <w:rsid w:val="00627F97"/>
    <w:rsid w:val="00645DBB"/>
    <w:rsid w:val="006D0FCF"/>
    <w:rsid w:val="006D22B1"/>
    <w:rsid w:val="006F1049"/>
    <w:rsid w:val="00715CE4"/>
    <w:rsid w:val="00753087"/>
    <w:rsid w:val="00765199"/>
    <w:rsid w:val="007727D4"/>
    <w:rsid w:val="00780EE1"/>
    <w:rsid w:val="007A03F1"/>
    <w:rsid w:val="007C0E97"/>
    <w:rsid w:val="007C4B64"/>
    <w:rsid w:val="007E1EA6"/>
    <w:rsid w:val="007F728D"/>
    <w:rsid w:val="0081771B"/>
    <w:rsid w:val="00824E3E"/>
    <w:rsid w:val="00832803"/>
    <w:rsid w:val="00881507"/>
    <w:rsid w:val="00882830"/>
    <w:rsid w:val="008A0A43"/>
    <w:rsid w:val="008E19C2"/>
    <w:rsid w:val="00920886"/>
    <w:rsid w:val="00943F92"/>
    <w:rsid w:val="0094548F"/>
    <w:rsid w:val="00981227"/>
    <w:rsid w:val="00994652"/>
    <w:rsid w:val="009A6000"/>
    <w:rsid w:val="009C3126"/>
    <w:rsid w:val="009D4E04"/>
    <w:rsid w:val="009E453E"/>
    <w:rsid w:val="009E6718"/>
    <w:rsid w:val="009F3D80"/>
    <w:rsid w:val="009F4922"/>
    <w:rsid w:val="00A00BBC"/>
    <w:rsid w:val="00A02ED6"/>
    <w:rsid w:val="00A76404"/>
    <w:rsid w:val="00A86078"/>
    <w:rsid w:val="00A86582"/>
    <w:rsid w:val="00A94E72"/>
    <w:rsid w:val="00B24570"/>
    <w:rsid w:val="00B754E4"/>
    <w:rsid w:val="00B84EAE"/>
    <w:rsid w:val="00BA1054"/>
    <w:rsid w:val="00BA4EDA"/>
    <w:rsid w:val="00BA6176"/>
    <w:rsid w:val="00BD421E"/>
    <w:rsid w:val="00BE3D2F"/>
    <w:rsid w:val="00BE3ED2"/>
    <w:rsid w:val="00BF401F"/>
    <w:rsid w:val="00BF67D4"/>
    <w:rsid w:val="00C20778"/>
    <w:rsid w:val="00C24D48"/>
    <w:rsid w:val="00C472E1"/>
    <w:rsid w:val="00C6527F"/>
    <w:rsid w:val="00C70660"/>
    <w:rsid w:val="00C83B1E"/>
    <w:rsid w:val="00CA5D52"/>
    <w:rsid w:val="00CB1DE1"/>
    <w:rsid w:val="00CC6759"/>
    <w:rsid w:val="00CE2AFF"/>
    <w:rsid w:val="00CE6FA5"/>
    <w:rsid w:val="00D00948"/>
    <w:rsid w:val="00D236CB"/>
    <w:rsid w:val="00D364E3"/>
    <w:rsid w:val="00D41F02"/>
    <w:rsid w:val="00D56B08"/>
    <w:rsid w:val="00D56D2B"/>
    <w:rsid w:val="00D94806"/>
    <w:rsid w:val="00DA0B4A"/>
    <w:rsid w:val="00DF6311"/>
    <w:rsid w:val="00E17454"/>
    <w:rsid w:val="00E25768"/>
    <w:rsid w:val="00E57429"/>
    <w:rsid w:val="00E9533F"/>
    <w:rsid w:val="00EE13D3"/>
    <w:rsid w:val="00EE6F8A"/>
    <w:rsid w:val="00F332F1"/>
    <w:rsid w:val="00F5122F"/>
    <w:rsid w:val="00F62118"/>
    <w:rsid w:val="00F661A8"/>
    <w:rsid w:val="00F91CA2"/>
    <w:rsid w:val="00F934FD"/>
    <w:rsid w:val="00FC4E3C"/>
    <w:rsid w:val="00FF2B5E"/>
    <w:rsid w:val="02FE578B"/>
    <w:rsid w:val="069C9FAC"/>
    <w:rsid w:val="0B37249C"/>
    <w:rsid w:val="1E670611"/>
    <w:rsid w:val="1F3720A7"/>
    <w:rsid w:val="1F678C97"/>
    <w:rsid w:val="205A7866"/>
    <w:rsid w:val="2605B031"/>
    <w:rsid w:val="27193543"/>
    <w:rsid w:val="27B62972"/>
    <w:rsid w:val="2C869BCF"/>
    <w:rsid w:val="2CB9130C"/>
    <w:rsid w:val="2DFCAFA5"/>
    <w:rsid w:val="36B2BCDF"/>
    <w:rsid w:val="39B18B17"/>
    <w:rsid w:val="3C377551"/>
    <w:rsid w:val="3E26F71F"/>
    <w:rsid w:val="3EB2941F"/>
    <w:rsid w:val="4747EAB0"/>
    <w:rsid w:val="4A9E25CC"/>
    <w:rsid w:val="4DB9173B"/>
    <w:rsid w:val="552C738B"/>
    <w:rsid w:val="5D7DDDA5"/>
    <w:rsid w:val="64756A71"/>
    <w:rsid w:val="64A8174A"/>
    <w:rsid w:val="69E0435C"/>
    <w:rsid w:val="730D3312"/>
    <w:rsid w:val="765EFF83"/>
    <w:rsid w:val="7A2C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A8174A"/>
  <w15:chartTrackingRefBased/>
  <w15:docId w15:val="{3E6D3687-C3A4-4577-AD40-CDBBD8155D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70"/>
    <w:pPr>
      <w:tabs>
        <w:tab w:val="center" w:pos="4680"/>
        <w:tab w:val="right" w:pos="9360"/>
      </w:tabs>
      <w:spacing w:after="0" w:line="240" w:lineRule="auto"/>
    </w:pPr>
    <w:rPr>
      <w:rFonts w:ascii="Arial Unicode MS" w:hAnsi="Arial Unicode MS" w:eastAsia="Arial Unicode MS" w:cs="Arial Unicode MS"/>
      <w:color w:val="000000"/>
      <w:lang w:eastAsia="lt-LT"/>
    </w:rPr>
  </w:style>
  <w:style w:type="character" w:styleId="HeaderChar" w:customStyle="1">
    <w:name w:val="Header Char"/>
    <w:basedOn w:val="DefaultParagraphFont"/>
    <w:link w:val="Header"/>
    <w:uiPriority w:val="99"/>
    <w:rsid w:val="00B24570"/>
    <w:rPr>
      <w:rFonts w:ascii="Arial Unicode MS" w:hAnsi="Arial Unicode MS" w:eastAsia="Arial Unicode MS" w:cs="Arial Unicode MS"/>
      <w:color w:val="00000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B24570"/>
    <w:pPr>
      <w:tabs>
        <w:tab w:val="center" w:pos="4680"/>
        <w:tab w:val="right" w:pos="9360"/>
      </w:tabs>
      <w:spacing w:after="0" w:line="240" w:lineRule="auto"/>
    </w:pPr>
    <w:rPr>
      <w:rFonts w:ascii="Arial Unicode MS" w:hAnsi="Arial Unicode MS" w:eastAsia="Arial Unicode MS" w:cs="Arial Unicode MS"/>
      <w:color w:val="000000"/>
      <w:lang w:eastAsia="lt-LT"/>
    </w:rPr>
  </w:style>
  <w:style w:type="character" w:styleId="FooterChar" w:customStyle="1">
    <w:name w:val="Footer Char"/>
    <w:basedOn w:val="DefaultParagraphFont"/>
    <w:link w:val="Footer"/>
    <w:uiPriority w:val="99"/>
    <w:rsid w:val="00B24570"/>
    <w:rPr>
      <w:rFonts w:ascii="Arial Unicode MS" w:hAnsi="Arial Unicode MS" w:eastAsia="Arial Unicode MS" w:cs="Arial Unicode MS"/>
      <w:color w:val="000000"/>
      <w:lang w:eastAsia="lt-LT"/>
    </w:rPr>
  </w:style>
  <w:style w:type="character" w:styleId="FootnoteReference">
    <w:name w:val="footnote reference"/>
    <w:basedOn w:val="DefaultParagraphFont"/>
    <w:uiPriority w:val="99"/>
    <w:unhideWhenUsed/>
    <w:rsid w:val="00B24570"/>
    <w:rPr>
      <w:vertAlign w:val="superscript"/>
    </w:rPr>
  </w:style>
  <w:style w:type="paragraph" w:styleId="CommentText">
    <w:name w:val="Comment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7727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C70660"/>
    <w:pPr>
      <w:spacing w:after="0" w:line="240" w:lineRule="auto"/>
    </w:pPr>
    <w:rPr>
      <w:lang w:val="en-GB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06379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63797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C3CB78FF70C458439D75B4A23944F" ma:contentTypeVersion="15" ma:contentTypeDescription="Create a new document." ma:contentTypeScope="" ma:versionID="3e25a96498b7da5b760be45d86e9cb25">
  <xsd:schema xmlns:xsd="http://www.w3.org/2001/XMLSchema" xmlns:xs="http://www.w3.org/2001/XMLSchema" xmlns:p="http://schemas.microsoft.com/office/2006/metadata/properties" xmlns:ns2="8e6f2afb-9b57-41de-8379-8ff12c3189b6" xmlns:ns3="19087870-50ab-4a66-bc64-4be2dafd3379" targetNamespace="http://schemas.microsoft.com/office/2006/metadata/properties" ma:root="true" ma:fieldsID="d80e8b624948cd3bf0ba2e3af38e5bc7" ns2:_="" ns3:_="">
    <xsd:import namespace="8e6f2afb-9b57-41de-8379-8ff12c3189b6"/>
    <xsd:import namespace="19087870-50ab-4a66-bc64-4be2dafd337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2afb-9b57-41de-8379-8ff12c3189b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87870-50ab-4a66-bc64-4be2dafd337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cae304-4f73-41a5-9856-da826d1033e3}" ma:internalName="TaxCatchAll" ma:showField="CatchAllData" ma:web="19087870-50ab-4a66-bc64-4be2dafd3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6f2afb-9b57-41de-8379-8ff12c3189b6">
      <Terms xmlns="http://schemas.microsoft.com/office/infopath/2007/PartnerControls"/>
    </lcf76f155ced4ddcb4097134ff3c332f>
    <TaxCatchAll xmlns="19087870-50ab-4a66-bc64-4be2dafd3379" xsi:nil="true"/>
  </documentManagement>
</p:properties>
</file>

<file path=customXml/itemProps1.xml><?xml version="1.0" encoding="utf-8"?>
<ds:datastoreItem xmlns:ds="http://schemas.openxmlformats.org/officeDocument/2006/customXml" ds:itemID="{AC80C23A-5BB3-465C-817E-1786B56CA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6f2afb-9b57-41de-8379-8ff12c3189b6"/>
    <ds:schemaRef ds:uri="19087870-50ab-4a66-bc64-4be2dafd3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D235C6-7020-4866-B806-1FAE7D0A8E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564B4-B4E1-4D98-90C7-2CA8C645BB6E}">
  <ds:schemaRefs>
    <ds:schemaRef ds:uri="http://schemas.microsoft.com/office/2006/metadata/properties"/>
    <ds:schemaRef ds:uri="http://schemas.microsoft.com/office/infopath/2007/PartnerControls"/>
    <ds:schemaRef ds:uri="8e6f2afb-9b57-41de-8379-8ff12c3189b6"/>
    <ds:schemaRef ds:uri="19087870-50ab-4a66-bc64-4be2dafd337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Daina Bilkštytė-Skanė</dc:creator>
  <keywords>, docId:33D25D29FE4517AEBFB58E29BCEDDC54</keywords>
  <dc:description/>
  <lastModifiedBy>Lina Makuškienė</lastModifiedBy>
  <revision>19</revision>
  <dcterms:created xsi:type="dcterms:W3CDTF">2026-06-18T10:23:00.0000000Z</dcterms:created>
  <dcterms:modified xsi:type="dcterms:W3CDTF">2026-06-22T14:02:57.3695897Z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0x010100A7AC3CB78FF70C458439D75B4A23944F</vt:lpwstr>
  </property>
  <property fmtid="{D5CDD505-2E9C-101B-9397-08002B2CF9AE}" pid="3" name="MediaServiceImageTags">
    <vt:lpwstr/>
  </property>
</Properties>
</file>