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124F" w14:textId="65AC080F" w:rsidR="00FA8D76" w:rsidRPr="00E70214" w:rsidRDefault="00FA8D76" w:rsidP="00FA8D76">
      <w:pPr>
        <w:spacing w:after="0" w:line="240" w:lineRule="auto"/>
        <w:jc w:val="right"/>
        <w:rPr>
          <w:rFonts w:ascii="Arial" w:hAnsi="Arial" w:cs="Arial"/>
          <w:sz w:val="20"/>
          <w:szCs w:val="20"/>
          <w:lang w:val="en-US"/>
        </w:rPr>
      </w:pPr>
    </w:p>
    <w:p w14:paraId="064ED84F" w14:textId="77777777" w:rsidR="000341BA" w:rsidRPr="00E70214" w:rsidRDefault="000341BA" w:rsidP="000341BA">
      <w:pPr>
        <w:spacing w:after="0" w:line="240" w:lineRule="auto"/>
        <w:jc w:val="center"/>
        <w:rPr>
          <w:rFonts w:ascii="Arial" w:hAnsi="Arial" w:cs="Arial"/>
          <w:sz w:val="20"/>
          <w:szCs w:val="20"/>
          <w:lang w:val="en-US"/>
        </w:rPr>
      </w:pPr>
    </w:p>
    <w:p w14:paraId="19CD14AF" w14:textId="7F39D3CE" w:rsidR="000341BA" w:rsidRPr="00E70214" w:rsidRDefault="001C41BA" w:rsidP="000341BA">
      <w:pPr>
        <w:spacing w:after="0" w:line="240" w:lineRule="auto"/>
        <w:jc w:val="center"/>
        <w:textAlignment w:val="baseline"/>
        <w:rPr>
          <w:rFonts w:ascii="Arial" w:eastAsia="Times New Roman" w:hAnsi="Arial" w:cs="Arial"/>
          <w:b/>
          <w:bCs/>
          <w:kern w:val="0"/>
          <w:sz w:val="20"/>
          <w:szCs w:val="20"/>
          <w:lang w:val="en-US" w:eastAsia="lt-LT"/>
          <w14:ligatures w14:val="none"/>
        </w:rPr>
      </w:pPr>
      <w:r w:rsidRPr="00E70214">
        <w:rPr>
          <w:rFonts w:ascii="Arial" w:eastAsia="Times New Roman" w:hAnsi="Arial" w:cs="Arial"/>
          <w:b/>
          <w:bCs/>
          <w:kern w:val="0"/>
          <w:sz w:val="20"/>
          <w:szCs w:val="20"/>
          <w:lang w:val="en-US" w:eastAsia="lt-LT"/>
          <w14:ligatures w14:val="none"/>
        </w:rPr>
        <w:t>REMUNERATION</w:t>
      </w:r>
      <w:r w:rsidR="00F90728" w:rsidRPr="00E70214">
        <w:rPr>
          <w:rFonts w:ascii="Arial" w:eastAsia="Times New Roman" w:hAnsi="Arial" w:cs="Arial"/>
          <w:b/>
          <w:bCs/>
          <w:kern w:val="0"/>
          <w:sz w:val="20"/>
          <w:szCs w:val="20"/>
          <w:lang w:val="en-US" w:eastAsia="lt-LT"/>
          <w14:ligatures w14:val="none"/>
        </w:rPr>
        <w:t> </w:t>
      </w:r>
    </w:p>
    <w:p w14:paraId="6B9F4A13" w14:textId="77777777" w:rsidR="000341BA" w:rsidRPr="00E70214" w:rsidRDefault="000341BA" w:rsidP="000341BA">
      <w:pPr>
        <w:spacing w:after="0" w:line="240" w:lineRule="auto"/>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58E9A633" w14:textId="129879DE" w:rsidR="000341BA" w:rsidRPr="00E70214" w:rsidRDefault="000341BA" w:rsidP="000341BA">
      <w:pPr>
        <w:spacing w:after="0" w:line="240" w:lineRule="auto"/>
        <w:jc w:val="center"/>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b/>
          <w:bCs/>
          <w:kern w:val="0"/>
          <w:sz w:val="20"/>
          <w:szCs w:val="20"/>
          <w:lang w:val="en-US" w:eastAsia="lt-LT"/>
          <w14:ligatures w14:val="none"/>
        </w:rPr>
        <w:t xml:space="preserve">1. </w:t>
      </w:r>
      <w:r w:rsidR="001C41BA" w:rsidRPr="00E70214">
        <w:rPr>
          <w:rFonts w:ascii="Arial" w:eastAsia="Times New Roman" w:hAnsi="Arial" w:cs="Arial"/>
          <w:b/>
          <w:bCs/>
          <w:kern w:val="0"/>
          <w:sz w:val="20"/>
          <w:szCs w:val="20"/>
          <w:lang w:val="en-US" w:eastAsia="lt-LT"/>
          <w14:ligatures w14:val="none"/>
        </w:rPr>
        <w:t>General provisions</w:t>
      </w:r>
    </w:p>
    <w:p w14:paraId="1699D091" w14:textId="77777777" w:rsidR="000341BA" w:rsidRPr="00E70214" w:rsidRDefault="000341BA" w:rsidP="000341BA">
      <w:p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p>
    <w:p w14:paraId="25E2FC94" w14:textId="55AD7113" w:rsidR="000341BA" w:rsidRPr="00E70214" w:rsidRDefault="00635C0E" w:rsidP="0001173D">
      <w:pPr>
        <w:pStyle w:val="ListParagraph"/>
        <w:numPr>
          <w:ilvl w:val="1"/>
          <w:numId w:val="3"/>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This Annex to the EETS Domain Statement (hereinafter – the “Annex”) sets out the principles for determining, approving and paying the remuneration due to the EETS Provider for the electronic road toll collection services provided under Service provision Agreement.</w:t>
      </w:r>
      <w:r w:rsidR="000341BA" w:rsidRPr="00E70214">
        <w:rPr>
          <w:rFonts w:ascii="Arial" w:eastAsia="Times New Roman" w:hAnsi="Arial" w:cs="Arial"/>
          <w:kern w:val="0"/>
          <w:sz w:val="20"/>
          <w:szCs w:val="20"/>
          <w:lang w:val="en-US" w:eastAsia="lt-LT"/>
          <w14:ligatures w14:val="none"/>
        </w:rPr>
        <w:t> </w:t>
      </w:r>
      <w:r w:rsidRPr="00E70214">
        <w:rPr>
          <w:rFonts w:ascii="Arial" w:eastAsia="Times New Roman" w:hAnsi="Arial" w:cs="Arial"/>
          <w:kern w:val="0"/>
          <w:sz w:val="20"/>
          <w:szCs w:val="20"/>
          <w:lang w:val="en-US" w:eastAsia="lt-LT"/>
          <w14:ligatures w14:val="none"/>
        </w:rPr>
        <w:t>Collected Toll means the amount of road toll payable during the reporting month in respect of the actual distance travelled by a vehicle within the EETS Domain, which the EETS Provider is required to remit to the Toll Charger in accordance with this Annex and the applicable legislation, including both the tolls actually collected during the reporting month and the tolls that, pursuant to the applicable arrangements (including deferred payment, instalment payment or other payment schedule arrangements), will be collected at a later date. For the purposes of this document, the terms “Collected Toll” and “Collectible Toll” shall have the same meaning, unless expressly stated otherwise in a specific provision.</w:t>
      </w:r>
      <w:r w:rsidR="000341BA" w:rsidRPr="00E70214">
        <w:rPr>
          <w:rFonts w:ascii="Arial" w:eastAsia="Times New Roman" w:hAnsi="Arial" w:cs="Arial"/>
          <w:kern w:val="0"/>
          <w:sz w:val="20"/>
          <w:szCs w:val="20"/>
          <w:lang w:val="en-US" w:eastAsia="lt-LT"/>
          <w14:ligatures w14:val="none"/>
        </w:rPr>
        <w:t> </w:t>
      </w:r>
    </w:p>
    <w:p w14:paraId="1000928F" w14:textId="20B76997" w:rsidR="000341BA" w:rsidRPr="00E70214" w:rsidRDefault="00635C0E" w:rsidP="000341BA">
      <w:pPr>
        <w:pStyle w:val="ListParagraph"/>
        <w:numPr>
          <w:ilvl w:val="1"/>
          <w:numId w:val="3"/>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The remuneration payable by the Toll Charger to the EETS Provider shall be determined in accordance with the principles of equal treatment, non-discrimination, transparency and proportionality.</w:t>
      </w:r>
      <w:r w:rsidR="000341BA" w:rsidRPr="00E70214">
        <w:rPr>
          <w:rFonts w:ascii="Arial" w:eastAsia="Times New Roman" w:hAnsi="Arial" w:cs="Arial"/>
          <w:color w:val="881798"/>
          <w:kern w:val="0"/>
          <w:sz w:val="20"/>
          <w:szCs w:val="20"/>
          <w:lang w:val="en-US" w:eastAsia="lt-LT"/>
          <w14:ligatures w14:val="none"/>
        </w:rPr>
        <w:t> </w:t>
      </w:r>
    </w:p>
    <w:p w14:paraId="010334CC" w14:textId="2CC54F76" w:rsidR="000341BA" w:rsidRPr="00E70214" w:rsidRDefault="00635C0E" w:rsidP="000341BA">
      <w:pPr>
        <w:pStyle w:val="ListParagraph"/>
        <w:numPr>
          <w:ilvl w:val="1"/>
          <w:numId w:val="3"/>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The remuneration rates and the principles governing their calculation shall apply equally to all EETS Providers operating within the European Electronic Toll Service Domain of the Republic of Lithuania.</w:t>
      </w:r>
      <w:r w:rsidR="000341BA" w:rsidRPr="00E70214">
        <w:rPr>
          <w:rFonts w:ascii="Arial" w:eastAsia="Times New Roman" w:hAnsi="Arial" w:cs="Arial"/>
          <w:kern w:val="0"/>
          <w:sz w:val="20"/>
          <w:szCs w:val="20"/>
          <w:lang w:val="en-US" w:eastAsia="lt-LT"/>
          <w14:ligatures w14:val="none"/>
        </w:rPr>
        <w:t> </w:t>
      </w:r>
    </w:p>
    <w:p w14:paraId="730D161A" w14:textId="77777777" w:rsidR="000341BA" w:rsidRPr="00E70214" w:rsidRDefault="000341BA" w:rsidP="000341BA">
      <w:p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5815D2CA" w14:textId="5E414FAF" w:rsidR="000341BA" w:rsidRPr="00E70214" w:rsidRDefault="000341BA" w:rsidP="000341BA">
      <w:pPr>
        <w:spacing w:after="0" w:line="240" w:lineRule="auto"/>
        <w:ind w:firstLine="360"/>
        <w:jc w:val="center"/>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b/>
          <w:bCs/>
          <w:kern w:val="0"/>
          <w:sz w:val="20"/>
          <w:szCs w:val="20"/>
          <w:lang w:val="en-US" w:eastAsia="lt-LT"/>
          <w14:ligatures w14:val="none"/>
        </w:rPr>
        <w:t xml:space="preserve">2. </w:t>
      </w:r>
      <w:r w:rsidR="001C41BA" w:rsidRPr="00E70214">
        <w:rPr>
          <w:rFonts w:ascii="Arial" w:eastAsia="Times New Roman" w:hAnsi="Arial" w:cs="Arial"/>
          <w:b/>
          <w:bCs/>
          <w:kern w:val="0"/>
          <w:sz w:val="20"/>
          <w:szCs w:val="20"/>
          <w:lang w:val="en-US" w:eastAsia="lt-LT"/>
          <w14:ligatures w14:val="none"/>
        </w:rPr>
        <w:t>Settlement Frequency</w:t>
      </w:r>
    </w:p>
    <w:p w14:paraId="5844719D" w14:textId="77777777" w:rsidR="000341BA" w:rsidRPr="00E70214" w:rsidRDefault="000341BA" w:rsidP="000341BA">
      <w:pPr>
        <w:spacing w:after="0" w:line="240" w:lineRule="auto"/>
        <w:ind w:firstLine="360"/>
        <w:jc w:val="both"/>
        <w:textAlignment w:val="baseline"/>
        <w:rPr>
          <w:rFonts w:ascii="Arial" w:eastAsia="Times New Roman" w:hAnsi="Arial" w:cs="Arial"/>
          <w:kern w:val="0"/>
          <w:sz w:val="20"/>
          <w:szCs w:val="20"/>
          <w:lang w:val="en-US" w:eastAsia="lt-LT"/>
          <w14:ligatures w14:val="none"/>
        </w:rPr>
      </w:pPr>
    </w:p>
    <w:p w14:paraId="54C772E5" w14:textId="2AACDD88" w:rsidR="000341BA" w:rsidRPr="00E70214" w:rsidRDefault="00635C0E" w:rsidP="000341BA">
      <w:pPr>
        <w:pStyle w:val="ListParagraph"/>
        <w:numPr>
          <w:ilvl w:val="1"/>
          <w:numId w:val="4"/>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The remuneration payable by the Toll Charger to the EETS Provider for the provision of electronic road toll services under Service provision agreement shall be paid at the frequency specified in the Service provision Agreement.</w:t>
      </w:r>
      <w:r w:rsidR="000341BA" w:rsidRPr="00E70214">
        <w:rPr>
          <w:rFonts w:ascii="Arial" w:eastAsia="Times New Roman" w:hAnsi="Arial" w:cs="Arial"/>
          <w:kern w:val="0"/>
          <w:sz w:val="20"/>
          <w:szCs w:val="20"/>
          <w:lang w:val="en-US" w:eastAsia="lt-LT"/>
          <w14:ligatures w14:val="none"/>
        </w:rPr>
        <w:t> </w:t>
      </w:r>
    </w:p>
    <w:p w14:paraId="028F9363" w14:textId="3AAB4708" w:rsidR="000341BA" w:rsidRPr="00E70214" w:rsidRDefault="00635C0E" w:rsidP="000341BA">
      <w:pPr>
        <w:pStyle w:val="ListParagraph"/>
        <w:numPr>
          <w:ilvl w:val="1"/>
          <w:numId w:val="4"/>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xml:space="preserve">The payment specified in paragraph 2.1 of the Annex shall be made only for the </w:t>
      </w:r>
      <w:r w:rsidR="00465F67" w:rsidRPr="00E70214">
        <w:rPr>
          <w:rFonts w:ascii="Arial" w:eastAsia="Times New Roman" w:hAnsi="Arial" w:cs="Arial"/>
          <w:kern w:val="0"/>
          <w:sz w:val="20"/>
          <w:szCs w:val="20"/>
          <w:lang w:val="en-US" w:eastAsia="lt-LT"/>
          <w14:ligatures w14:val="none"/>
        </w:rPr>
        <w:t>number</w:t>
      </w:r>
      <w:r w:rsidRPr="00E70214">
        <w:rPr>
          <w:rFonts w:ascii="Arial" w:eastAsia="Times New Roman" w:hAnsi="Arial" w:cs="Arial"/>
          <w:kern w:val="0"/>
          <w:sz w:val="20"/>
          <w:szCs w:val="20"/>
          <w:lang w:val="en-US" w:eastAsia="lt-LT"/>
          <w14:ligatures w14:val="none"/>
        </w:rPr>
        <w:t xml:space="preserve"> of services </w:t>
      </w:r>
      <w:proofErr w:type="gramStart"/>
      <w:r w:rsidRPr="00E70214">
        <w:rPr>
          <w:rFonts w:ascii="Arial" w:eastAsia="Times New Roman" w:hAnsi="Arial" w:cs="Arial"/>
          <w:kern w:val="0"/>
          <w:sz w:val="20"/>
          <w:szCs w:val="20"/>
          <w:lang w:val="en-US" w:eastAsia="lt-LT"/>
          <w14:ligatures w14:val="none"/>
        </w:rPr>
        <w:t>actually provided</w:t>
      </w:r>
      <w:proofErr w:type="gramEnd"/>
      <w:r w:rsidRPr="00E70214">
        <w:rPr>
          <w:rFonts w:ascii="Arial" w:eastAsia="Times New Roman" w:hAnsi="Arial" w:cs="Arial"/>
          <w:kern w:val="0"/>
          <w:sz w:val="20"/>
          <w:szCs w:val="20"/>
          <w:lang w:val="en-US" w:eastAsia="lt-LT"/>
          <w14:ligatures w14:val="none"/>
        </w:rPr>
        <w:t xml:space="preserve"> and approved by the Toll Charger.</w:t>
      </w:r>
      <w:r w:rsidR="000341BA" w:rsidRPr="00E70214">
        <w:rPr>
          <w:rFonts w:ascii="Arial" w:eastAsia="Times New Roman" w:hAnsi="Arial" w:cs="Arial"/>
          <w:kern w:val="0"/>
          <w:sz w:val="20"/>
          <w:szCs w:val="20"/>
          <w:lang w:val="en-US" w:eastAsia="lt-LT"/>
          <w14:ligatures w14:val="none"/>
        </w:rPr>
        <w:t> </w:t>
      </w:r>
    </w:p>
    <w:p w14:paraId="5915E86C" w14:textId="77777777" w:rsidR="000341BA" w:rsidRPr="00E70214" w:rsidRDefault="000341BA" w:rsidP="000341BA">
      <w:pPr>
        <w:spacing w:after="0" w:line="240" w:lineRule="auto"/>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38825E90" w14:textId="67D66144" w:rsidR="000341BA" w:rsidRPr="00E70214" w:rsidRDefault="000341BA" w:rsidP="000341BA">
      <w:pPr>
        <w:spacing w:after="0" w:line="240" w:lineRule="auto"/>
        <w:jc w:val="center"/>
        <w:textAlignment w:val="baseline"/>
        <w:rPr>
          <w:rFonts w:ascii="Arial" w:eastAsia="Times New Roman" w:hAnsi="Arial" w:cs="Arial"/>
          <w:b/>
          <w:bCs/>
          <w:kern w:val="0"/>
          <w:sz w:val="20"/>
          <w:szCs w:val="20"/>
          <w:lang w:val="en-US" w:eastAsia="lt-LT"/>
          <w14:ligatures w14:val="none"/>
        </w:rPr>
      </w:pPr>
      <w:r w:rsidRPr="00E70214">
        <w:rPr>
          <w:rFonts w:ascii="Arial" w:eastAsia="Times New Roman" w:hAnsi="Arial" w:cs="Arial"/>
          <w:b/>
          <w:sz w:val="20"/>
          <w:szCs w:val="20"/>
          <w:lang w:val="en-US" w:eastAsia="lt-LT"/>
        </w:rPr>
        <w:t xml:space="preserve">3. </w:t>
      </w:r>
      <w:r w:rsidR="001C41BA" w:rsidRPr="00E70214">
        <w:rPr>
          <w:rFonts w:ascii="Arial" w:eastAsia="Times New Roman" w:hAnsi="Arial" w:cs="Arial"/>
          <w:b/>
          <w:bCs/>
          <w:kern w:val="0"/>
          <w:sz w:val="20"/>
          <w:szCs w:val="20"/>
          <w:lang w:val="en-US" w:eastAsia="lt-LT"/>
          <w14:ligatures w14:val="none"/>
        </w:rPr>
        <w:t>Remuneration Calculation Formula</w:t>
      </w:r>
    </w:p>
    <w:p w14:paraId="7C72974C" w14:textId="77777777" w:rsidR="000341BA" w:rsidRPr="00E70214" w:rsidRDefault="000341BA" w:rsidP="000341BA">
      <w:pPr>
        <w:pStyle w:val="ListParagraph"/>
        <w:spacing w:after="0" w:line="240" w:lineRule="auto"/>
        <w:ind w:left="360"/>
        <w:textAlignment w:val="baseline"/>
        <w:rPr>
          <w:rFonts w:ascii="Arial" w:eastAsia="Times New Roman" w:hAnsi="Arial" w:cs="Arial"/>
          <w:kern w:val="0"/>
          <w:sz w:val="20"/>
          <w:szCs w:val="20"/>
          <w:lang w:val="en-US" w:eastAsia="lt-LT"/>
          <w14:ligatures w14:val="none"/>
        </w:rPr>
      </w:pPr>
    </w:p>
    <w:p w14:paraId="53232868" w14:textId="056D61E1" w:rsidR="000341BA" w:rsidRPr="00E70214" w:rsidRDefault="00635C0E" w:rsidP="000341BA">
      <w:pPr>
        <w:pStyle w:val="ListParagraph"/>
        <w:numPr>
          <w:ilvl w:val="1"/>
          <w:numId w:val="5"/>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The remuneration payable to the EETS Provider shall be calculated in accordance with the following formula</w:t>
      </w:r>
      <w:r w:rsidR="000341BA" w:rsidRPr="00E70214">
        <w:rPr>
          <w:rFonts w:ascii="Arial" w:eastAsia="Times New Roman" w:hAnsi="Arial" w:cs="Arial"/>
          <w:kern w:val="0"/>
          <w:sz w:val="20"/>
          <w:szCs w:val="20"/>
          <w:lang w:val="en-US" w:eastAsia="lt-LT"/>
          <w14:ligatures w14:val="none"/>
        </w:rPr>
        <w:t>: </w:t>
      </w:r>
    </w:p>
    <w:p w14:paraId="06D209E8" w14:textId="47FD5BDE" w:rsidR="000341BA" w:rsidRPr="00E70214" w:rsidRDefault="00ED6E2B" w:rsidP="000341BA">
      <w:pPr>
        <w:spacing w:after="0" w:line="240" w:lineRule="auto"/>
        <w:jc w:val="both"/>
        <w:textAlignment w:val="baseline"/>
        <w:rPr>
          <w:rFonts w:ascii="Arial" w:eastAsia="Times New Roman" w:hAnsi="Arial" w:cs="Arial"/>
          <w:kern w:val="0"/>
          <w:sz w:val="20"/>
          <w:szCs w:val="20"/>
          <w:lang w:val="en-US" w:eastAsia="lt-LT"/>
          <w14:ligatures w14:val="none"/>
        </w:rPr>
      </w:pPr>
      <m:oMathPara>
        <m:oMath>
          <m:sSub>
            <m:sSubPr>
              <m:ctrlPr>
                <w:rPr>
                  <w:rFonts w:ascii="Cambria Math" w:eastAsia="Times New Roman" w:hAnsi="Cambria Math" w:cs="Arial"/>
                  <w:kern w:val="0"/>
                  <w:sz w:val="20"/>
                  <w:szCs w:val="20"/>
                  <w:lang w:val="en-US" w:eastAsia="lt-LT"/>
                  <w14:ligatures w14:val="none"/>
                </w:rPr>
              </m:ctrlPr>
            </m:sSubPr>
            <m:e>
              <m:r>
                <w:rPr>
                  <w:rFonts w:ascii="Cambria Math" w:eastAsia="Times New Roman" w:hAnsi="Cambria Math" w:cs="Arial"/>
                  <w:kern w:val="0"/>
                  <w:sz w:val="20"/>
                  <w:szCs w:val="20"/>
                  <w:lang w:val="en-US" w:eastAsia="lt-LT"/>
                  <w14:ligatures w14:val="none"/>
                </w:rPr>
                <m:t>EETS</m:t>
              </m:r>
              <m:ctrlPr>
                <w:rPr>
                  <w:rFonts w:ascii="Cambria Math" w:eastAsia="Times New Roman" w:hAnsi="Cambria Math" w:cs="Arial"/>
                  <w:i/>
                  <w:kern w:val="0"/>
                  <w:sz w:val="20"/>
                  <w:szCs w:val="20"/>
                  <w:lang w:val="en-US" w:eastAsia="lt-LT"/>
                  <w14:ligatures w14:val="none"/>
                </w:rPr>
              </m:ctrlPr>
            </m:e>
            <m:sub>
              <m:r>
                <w:rPr>
                  <w:rFonts w:ascii="Cambria Math" w:eastAsia="Times New Roman" w:hAnsi="Cambria Math" w:cs="Arial"/>
                  <w:kern w:val="0"/>
                  <w:sz w:val="20"/>
                  <w:szCs w:val="20"/>
                  <w:lang w:val="en-US" w:eastAsia="lt-LT"/>
                  <w14:ligatures w14:val="none"/>
                </w:rPr>
                <m:t>remuneration</m:t>
              </m:r>
            </m:sub>
          </m:sSub>
          <m:r>
            <w:rPr>
              <w:rFonts w:ascii="Cambria Math" w:eastAsia="Times New Roman" w:hAnsi="Cambria Math" w:cs="Arial"/>
              <w:kern w:val="0"/>
              <w:sz w:val="20"/>
              <w:szCs w:val="20"/>
              <w:lang w:val="en-US" w:eastAsia="lt-LT"/>
              <w14:ligatures w14:val="none"/>
            </w:rPr>
            <m:t>=</m:t>
          </m:r>
          <m:sSub>
            <m:sSubPr>
              <m:ctrlPr>
                <w:rPr>
                  <w:rFonts w:ascii="Cambria Math" w:eastAsia="Times New Roman" w:hAnsi="Cambria Math" w:cs="Arial"/>
                  <w:i/>
                  <w:kern w:val="0"/>
                  <w:sz w:val="20"/>
                  <w:szCs w:val="20"/>
                  <w:lang w:val="en-US" w:eastAsia="lt-LT"/>
                  <w14:ligatures w14:val="none"/>
                </w:rPr>
              </m:ctrlPr>
            </m:sSubPr>
            <m:e>
              <m:r>
                <w:rPr>
                  <w:rFonts w:ascii="Cambria Math" w:eastAsia="Times New Roman" w:hAnsi="Cambria Math" w:cs="Arial"/>
                  <w:kern w:val="0"/>
                  <w:sz w:val="20"/>
                  <w:szCs w:val="20"/>
                  <w:lang w:val="en-US" w:eastAsia="lt-LT"/>
                  <w14:ligatures w14:val="none"/>
                </w:rPr>
                <m:t>Remuneration</m:t>
              </m:r>
            </m:e>
            <m:sub>
              <m:r>
                <w:rPr>
                  <w:rFonts w:ascii="Cambria Math" w:eastAsia="Times New Roman" w:hAnsi="Cambria Math" w:cs="Arial"/>
                  <w:kern w:val="0"/>
                  <w:sz w:val="20"/>
                  <w:szCs w:val="20"/>
                  <w:lang w:val="en-US" w:eastAsia="lt-LT"/>
                  <w14:ligatures w14:val="none"/>
                </w:rPr>
                <m:t>perc</m:t>
              </m:r>
            </m:sub>
          </m:sSub>
          <m:r>
            <w:rPr>
              <w:rFonts w:ascii="Cambria Math" w:eastAsia="Times New Roman" w:hAnsi="Cambria Math" w:cs="Arial"/>
              <w:kern w:val="0"/>
              <w:sz w:val="20"/>
              <w:szCs w:val="20"/>
              <w:lang w:val="en-US" w:eastAsia="lt-LT"/>
              <w14:ligatures w14:val="none"/>
            </w:rPr>
            <m:t>*ChargedToll+ActiveOBUquantity*</m:t>
          </m:r>
          <m:sSub>
            <m:sSubPr>
              <m:ctrlPr>
                <w:rPr>
                  <w:rFonts w:ascii="Cambria Math" w:eastAsia="Times New Roman" w:hAnsi="Cambria Math" w:cs="Arial"/>
                  <w:i/>
                  <w:kern w:val="0"/>
                  <w:sz w:val="20"/>
                  <w:szCs w:val="20"/>
                  <w:lang w:val="en-US" w:eastAsia="lt-LT"/>
                  <w14:ligatures w14:val="none"/>
                </w:rPr>
              </m:ctrlPr>
            </m:sSubPr>
            <m:e>
              <m:r>
                <w:rPr>
                  <w:rFonts w:ascii="Cambria Math" w:eastAsia="Times New Roman" w:hAnsi="Cambria Math" w:cs="Arial"/>
                  <w:kern w:val="0"/>
                  <w:sz w:val="20"/>
                  <w:szCs w:val="20"/>
                  <w:lang w:val="en-US" w:eastAsia="lt-LT"/>
                  <w14:ligatures w14:val="none"/>
                </w:rPr>
                <m:t>Remuneration</m:t>
              </m:r>
            </m:e>
            <m:sub>
              <m:r>
                <w:rPr>
                  <w:rFonts w:ascii="Cambria Math" w:eastAsia="Times New Roman" w:hAnsi="Cambria Math" w:cs="Arial"/>
                  <w:kern w:val="0"/>
                  <w:sz w:val="20"/>
                  <w:szCs w:val="20"/>
                  <w:lang w:val="en-US" w:eastAsia="lt-LT"/>
                  <w14:ligatures w14:val="none"/>
                </w:rPr>
                <m:t>fiks</m:t>
              </m:r>
            </m:sub>
          </m:sSub>
          <m:r>
            <m:rPr>
              <m:sty m:val="p"/>
            </m:rPr>
            <w:rPr>
              <w:rFonts w:ascii="Cambria Math" w:eastAsia="Times New Roman" w:hAnsi="Cambria Math" w:cs="Arial"/>
              <w:kern w:val="0"/>
              <w:sz w:val="20"/>
              <w:szCs w:val="20"/>
              <w:lang w:val="en-US" w:eastAsia="lt-LT"/>
              <w14:ligatures w14:val="none"/>
            </w:rPr>
            <w:br/>
          </m:r>
        </m:oMath>
      </m:oMathPara>
    </w:p>
    <w:p w14:paraId="2997D08C" w14:textId="77777777" w:rsidR="00CE1A25" w:rsidRPr="00E70214" w:rsidRDefault="00CE1A25" w:rsidP="000341BA">
      <w:pPr>
        <w:spacing w:after="0" w:line="240" w:lineRule="auto"/>
        <w:jc w:val="both"/>
        <w:textAlignment w:val="baseline"/>
        <w:rPr>
          <w:rFonts w:ascii="Arial" w:eastAsia="Times New Roman" w:hAnsi="Arial" w:cs="Arial"/>
          <w:kern w:val="0"/>
          <w:sz w:val="20"/>
          <w:szCs w:val="20"/>
          <w:lang w:val="en-US" w:eastAsia="lt-LT"/>
          <w14:ligatures w14:val="none"/>
        </w:rPr>
      </w:pPr>
    </w:p>
    <w:p w14:paraId="42D2C0E1" w14:textId="4B743A7C" w:rsidR="000341BA" w:rsidRPr="00E70214" w:rsidRDefault="00272B7B" w:rsidP="000341BA">
      <w:pPr>
        <w:spacing w:after="0" w:line="240" w:lineRule="auto"/>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Where</w:t>
      </w:r>
      <w:r w:rsidR="000341BA" w:rsidRPr="00E70214">
        <w:rPr>
          <w:rFonts w:ascii="Arial" w:eastAsia="Times New Roman" w:hAnsi="Arial" w:cs="Arial"/>
          <w:kern w:val="0"/>
          <w:sz w:val="20"/>
          <w:szCs w:val="20"/>
          <w:lang w:val="en-US" w:eastAsia="lt-LT"/>
          <w14:ligatures w14:val="none"/>
        </w:rPr>
        <w:t>:  </w:t>
      </w:r>
    </w:p>
    <w:p w14:paraId="2A3E490A" w14:textId="0D499526" w:rsidR="000341BA" w:rsidRPr="00E70214" w:rsidRDefault="00ED6E2B" w:rsidP="000341BA">
      <w:pPr>
        <w:shd w:val="clear" w:color="auto" w:fill="FFFFFF"/>
        <w:spacing w:after="0" w:line="240" w:lineRule="auto"/>
        <w:jc w:val="both"/>
        <w:rPr>
          <w:rFonts w:ascii="Arial" w:eastAsia="Times New Roman" w:hAnsi="Arial" w:cs="Arial"/>
          <w:color w:val="000000"/>
          <w:kern w:val="0"/>
          <w:sz w:val="20"/>
          <w:szCs w:val="20"/>
          <w:lang w:val="en-US" w:eastAsia="lt-LT"/>
          <w14:ligatures w14:val="none"/>
        </w:rPr>
      </w:pPr>
      <m:oMathPara>
        <m:oMath>
          <m:sSub>
            <m:sSubPr>
              <m:ctrlPr>
                <w:rPr>
                  <w:rFonts w:ascii="Cambria Math" w:eastAsia="Times New Roman" w:hAnsi="Cambria Math" w:cs="Arial"/>
                  <w:kern w:val="0"/>
                  <w:sz w:val="20"/>
                  <w:szCs w:val="20"/>
                  <w:lang w:val="en-US" w:eastAsia="lt-LT"/>
                  <w14:ligatures w14:val="none"/>
                </w:rPr>
              </m:ctrlPr>
            </m:sSubPr>
            <m:e>
              <m:r>
                <m:rPr>
                  <m:sty m:val="bi"/>
                </m:rPr>
                <w:rPr>
                  <w:rFonts w:ascii="Cambria Math" w:eastAsia="Times New Roman" w:hAnsi="Cambria Math" w:cs="Arial"/>
                  <w:kern w:val="0"/>
                  <w:sz w:val="20"/>
                  <w:szCs w:val="20"/>
                  <w:lang w:val="en-US" w:eastAsia="lt-LT"/>
                  <w14:ligatures w14:val="none"/>
                </w:rPr>
                <m:t>EERP</m:t>
              </m:r>
            </m:e>
            <m:sub>
              <m:r>
                <m:rPr>
                  <m:sty m:val="bi"/>
                </m:rPr>
                <w:rPr>
                  <w:rFonts w:ascii="Cambria Math" w:eastAsia="Times New Roman" w:hAnsi="Cambria Math" w:cs="Arial"/>
                  <w:kern w:val="0"/>
                  <w:sz w:val="20"/>
                  <w:szCs w:val="20"/>
                  <w:lang w:val="en-US" w:eastAsia="lt-LT"/>
                  <w14:ligatures w14:val="none"/>
                </w:rPr>
                <m:t>remuneration</m:t>
              </m:r>
            </m:sub>
          </m:sSub>
          <m:r>
            <m:rPr>
              <m:sty m:val="p"/>
            </m:rPr>
            <w:rPr>
              <w:rFonts w:ascii="Cambria Math" w:eastAsia="Times New Roman" w:hAnsi="Cambria Math" w:cs="Arial"/>
              <w:kern w:val="0"/>
              <w:sz w:val="20"/>
              <w:szCs w:val="20"/>
              <w:lang w:val="en-US" w:eastAsia="lt-LT"/>
              <w14:ligatures w14:val="none"/>
            </w:rPr>
            <w:br/>
          </m:r>
        </m:oMath>
      </m:oMathPara>
    </w:p>
    <w:p w14:paraId="3284BB2F" w14:textId="1F2774FC" w:rsidR="000341BA" w:rsidRPr="00E70214" w:rsidRDefault="000341BA" w:rsidP="000341BA">
      <w:pPr>
        <w:shd w:val="clear" w:color="auto" w:fill="FFFFFF"/>
        <w:spacing w:after="0" w:line="240" w:lineRule="auto"/>
        <w:ind w:firstLine="993"/>
        <w:jc w:val="both"/>
        <w:rPr>
          <w:rFonts w:ascii="Arial" w:eastAsia="Times New Roman" w:hAnsi="Arial" w:cs="Arial"/>
          <w:color w:val="000000"/>
          <w:kern w:val="0"/>
          <w:sz w:val="20"/>
          <w:szCs w:val="20"/>
          <w:lang w:val="en-US" w:eastAsia="lt-LT"/>
          <w14:ligatures w14:val="none"/>
        </w:rPr>
      </w:pPr>
      <w:r w:rsidRPr="00E70214">
        <w:rPr>
          <w:rFonts w:ascii="Arial" w:eastAsia="Times New Roman" w:hAnsi="Arial" w:cs="Arial"/>
          <w:color w:val="000000"/>
          <w:kern w:val="0"/>
          <w:sz w:val="20"/>
          <w:szCs w:val="20"/>
          <w:lang w:val="en-US" w:eastAsia="lt-LT"/>
          <w14:ligatures w14:val="none"/>
        </w:rPr>
        <w:t xml:space="preserve">– </w:t>
      </w:r>
      <w:r w:rsidR="00272B7B" w:rsidRPr="00E70214">
        <w:rPr>
          <w:rFonts w:ascii="Arial" w:eastAsia="Times New Roman" w:hAnsi="Arial" w:cs="Arial"/>
          <w:color w:val="000000"/>
          <w:kern w:val="0"/>
          <w:sz w:val="20"/>
          <w:szCs w:val="20"/>
          <w:lang w:val="en-US" w:eastAsia="lt-LT"/>
          <w14:ligatures w14:val="none"/>
        </w:rPr>
        <w:t>the remuneration to the EETS Provider for the collected electronic toll, calculated once a month and expressed in euros</w:t>
      </w:r>
      <w:r w:rsidRPr="00E70214">
        <w:rPr>
          <w:rFonts w:ascii="Arial" w:eastAsia="Times New Roman" w:hAnsi="Arial" w:cs="Arial"/>
          <w:color w:val="000000"/>
          <w:kern w:val="0"/>
          <w:sz w:val="20"/>
          <w:szCs w:val="20"/>
          <w:lang w:val="en-US" w:eastAsia="lt-LT"/>
          <w14:ligatures w14:val="none"/>
        </w:rPr>
        <w:t>;  </w:t>
      </w:r>
    </w:p>
    <w:p w14:paraId="290DB68B" w14:textId="7E6E9D69" w:rsidR="000341BA" w:rsidRPr="00E70214" w:rsidRDefault="00ED6E2B" w:rsidP="000341BA">
      <w:pPr>
        <w:shd w:val="clear" w:color="auto" w:fill="FFFFFF"/>
        <w:spacing w:after="0" w:line="240" w:lineRule="auto"/>
        <w:ind w:firstLine="993"/>
        <w:jc w:val="both"/>
        <w:rPr>
          <w:rFonts w:ascii="Arial" w:eastAsia="Times New Roman" w:hAnsi="Arial" w:cs="Arial"/>
          <w:color w:val="000000"/>
          <w:kern w:val="0"/>
          <w:sz w:val="20"/>
          <w:szCs w:val="20"/>
          <w:lang w:val="en-US" w:eastAsia="lt-LT"/>
          <w14:ligatures w14:val="none"/>
        </w:rPr>
      </w:pPr>
      <m:oMathPara>
        <m:oMath>
          <m:sSub>
            <m:sSubPr>
              <m:ctrlPr>
                <w:rPr>
                  <w:rFonts w:ascii="Cambria Math" w:eastAsia="Times New Roman" w:hAnsi="Cambria Math" w:cs="Arial"/>
                  <w:kern w:val="0"/>
                  <w:sz w:val="20"/>
                  <w:szCs w:val="20"/>
                  <w:lang w:val="en-US" w:eastAsia="lt-LT"/>
                  <w14:ligatures w14:val="none"/>
                </w:rPr>
              </m:ctrlPr>
            </m:sSubPr>
            <m:e>
              <m:r>
                <m:rPr>
                  <m:sty m:val="bi"/>
                </m:rPr>
                <w:rPr>
                  <w:rFonts w:ascii="Cambria Math" w:eastAsia="Times New Roman" w:hAnsi="Cambria Math" w:cs="Arial"/>
                  <w:kern w:val="0"/>
                  <w:sz w:val="20"/>
                  <w:szCs w:val="20"/>
                  <w:lang w:val="en-US" w:eastAsia="lt-LT"/>
                  <w14:ligatures w14:val="none"/>
                </w:rPr>
                <m:t>Remuneration</m:t>
              </m:r>
            </m:e>
            <m:sub>
              <m:r>
                <m:rPr>
                  <m:sty m:val="bi"/>
                </m:rPr>
                <w:rPr>
                  <w:rFonts w:ascii="Cambria Math" w:eastAsia="Times New Roman" w:hAnsi="Cambria Math" w:cs="Arial"/>
                  <w:kern w:val="0"/>
                  <w:sz w:val="20"/>
                  <w:szCs w:val="20"/>
                  <w:lang w:val="en-US" w:eastAsia="lt-LT"/>
                  <w14:ligatures w14:val="none"/>
                </w:rPr>
                <m:t>perc</m:t>
              </m:r>
            </m:sub>
          </m:sSub>
          <m:r>
            <m:rPr>
              <m:sty m:val="p"/>
            </m:rPr>
            <w:rPr>
              <w:rFonts w:ascii="Cambria Math" w:eastAsia="Times New Roman" w:hAnsi="Cambria Math" w:cs="Arial"/>
              <w:kern w:val="0"/>
              <w:sz w:val="20"/>
              <w:szCs w:val="20"/>
              <w:lang w:val="en-US" w:eastAsia="lt-LT"/>
              <w14:ligatures w14:val="none"/>
            </w:rPr>
            <w:br/>
          </m:r>
        </m:oMath>
      </m:oMathPara>
    </w:p>
    <w:p w14:paraId="0E20BC61" w14:textId="0FF1E7CA" w:rsidR="000341BA" w:rsidRPr="00E70214" w:rsidRDefault="000341BA" w:rsidP="000341BA">
      <w:pPr>
        <w:shd w:val="clear" w:color="auto" w:fill="FFFFFF"/>
        <w:spacing w:after="0" w:line="240" w:lineRule="auto"/>
        <w:ind w:firstLine="993"/>
        <w:jc w:val="both"/>
        <w:rPr>
          <w:rFonts w:ascii="Arial" w:eastAsia="Times New Roman" w:hAnsi="Arial" w:cs="Arial"/>
          <w:color w:val="000000"/>
          <w:kern w:val="0"/>
          <w:sz w:val="20"/>
          <w:szCs w:val="20"/>
          <w:lang w:val="en-US" w:eastAsia="lt-LT"/>
          <w14:ligatures w14:val="none"/>
        </w:rPr>
      </w:pPr>
      <w:r w:rsidRPr="00E70214">
        <w:rPr>
          <w:rFonts w:ascii="Arial" w:eastAsia="Times New Roman" w:hAnsi="Arial" w:cs="Arial"/>
          <w:color w:val="000000"/>
          <w:kern w:val="0"/>
          <w:sz w:val="20"/>
          <w:szCs w:val="20"/>
          <w:lang w:val="en-US" w:eastAsia="lt-LT"/>
          <w14:ligatures w14:val="none"/>
        </w:rPr>
        <w:t xml:space="preserve">– </w:t>
      </w:r>
      <w:r w:rsidR="00272B7B" w:rsidRPr="00E70214">
        <w:rPr>
          <w:rFonts w:ascii="Arial" w:eastAsia="Times New Roman" w:hAnsi="Arial" w:cs="Arial"/>
          <w:color w:val="000000"/>
          <w:kern w:val="0"/>
          <w:sz w:val="20"/>
          <w:szCs w:val="20"/>
          <w:lang w:val="en-US" w:eastAsia="lt-LT"/>
          <w14:ligatures w14:val="none"/>
        </w:rPr>
        <w:t>a fixed percentage allocated to the EETS provider for the collected electronic toll</w:t>
      </w:r>
      <w:r w:rsidRPr="00E70214">
        <w:rPr>
          <w:rFonts w:ascii="Arial" w:eastAsia="Times New Roman" w:hAnsi="Arial" w:cs="Arial"/>
          <w:color w:val="000000"/>
          <w:kern w:val="0"/>
          <w:sz w:val="20"/>
          <w:szCs w:val="20"/>
          <w:lang w:val="en-US" w:eastAsia="lt-LT"/>
          <w14:ligatures w14:val="none"/>
        </w:rPr>
        <w:t>;  </w:t>
      </w:r>
    </w:p>
    <w:p w14:paraId="103E87FC" w14:textId="77777777" w:rsidR="006356A0" w:rsidRPr="00E70214" w:rsidRDefault="006356A0" w:rsidP="000341BA">
      <w:pPr>
        <w:shd w:val="clear" w:color="auto" w:fill="FFFFFF"/>
        <w:spacing w:after="0" w:line="240" w:lineRule="auto"/>
        <w:ind w:firstLine="993"/>
        <w:jc w:val="both"/>
        <w:rPr>
          <w:rFonts w:ascii="Arial" w:eastAsia="Times New Roman" w:hAnsi="Arial" w:cs="Arial"/>
          <w:color w:val="000000"/>
          <w:kern w:val="0"/>
          <w:sz w:val="20"/>
          <w:szCs w:val="20"/>
          <w:lang w:val="en-US" w:eastAsia="lt-LT"/>
          <w14:ligatures w14:val="none"/>
        </w:rPr>
      </w:pPr>
    </w:p>
    <w:p w14:paraId="18E78C77" w14:textId="67E0F6C0" w:rsidR="000341BA" w:rsidRPr="00E70214" w:rsidRDefault="00ED6E2B" w:rsidP="006166B7">
      <w:pPr>
        <w:shd w:val="clear" w:color="auto" w:fill="FFFFFF"/>
        <w:spacing w:after="0" w:line="240" w:lineRule="auto"/>
        <w:jc w:val="center"/>
        <w:rPr>
          <w:rFonts w:ascii="Arial" w:eastAsia="Times New Roman" w:hAnsi="Arial" w:cs="Arial"/>
          <w:b/>
          <w:bCs/>
          <w:kern w:val="0"/>
          <w:sz w:val="20"/>
          <w:szCs w:val="20"/>
          <w:lang w:val="en-US" w:eastAsia="lt-LT"/>
          <w14:ligatures w14:val="none"/>
        </w:rPr>
      </w:pPr>
      <m:oMath>
        <m:sSub>
          <m:sSubPr>
            <m:ctrlPr>
              <w:rPr>
                <w:rFonts w:ascii="Cambria Math" w:eastAsia="Times New Roman" w:hAnsi="Cambria Math" w:cs="Arial"/>
                <w:kern w:val="0"/>
                <w:sz w:val="20"/>
                <w:szCs w:val="20"/>
                <w:lang w:val="en-US" w:eastAsia="lt-LT"/>
                <w14:ligatures w14:val="none"/>
              </w:rPr>
            </m:ctrlPr>
          </m:sSubPr>
          <m:e>
            <m:r>
              <m:rPr>
                <m:sty m:val="bi"/>
              </m:rPr>
              <w:rPr>
                <w:rFonts w:ascii="Cambria Math" w:eastAsia="Times New Roman" w:hAnsi="Cambria Math" w:cs="Arial"/>
                <w:kern w:val="0"/>
                <w:sz w:val="20"/>
                <w:szCs w:val="20"/>
                <w:lang w:val="en-US" w:eastAsia="lt-LT"/>
                <w14:ligatures w14:val="none"/>
              </w:rPr>
              <m:t>Remuneration</m:t>
            </m:r>
          </m:e>
          <m:sub>
            <m:r>
              <w:rPr>
                <w:rFonts w:ascii="Cambria Math" w:eastAsia="Times New Roman" w:hAnsi="Cambria Math" w:cs="Arial"/>
                <w:kern w:val="0"/>
                <w:sz w:val="20"/>
                <w:szCs w:val="20"/>
                <w:lang w:val="en-US" w:eastAsia="lt-LT"/>
                <w14:ligatures w14:val="none"/>
              </w:rPr>
              <m:t>fiks</m:t>
            </m:r>
          </m:sub>
        </m:sSub>
      </m:oMath>
      <w:r w:rsidR="00DB03C7" w:rsidRPr="00E70214">
        <w:rPr>
          <w:rFonts w:ascii="Arial" w:eastAsia="Times New Roman" w:hAnsi="Arial" w:cs="Arial"/>
          <w:kern w:val="0"/>
          <w:sz w:val="20"/>
          <w:szCs w:val="20"/>
          <w:lang w:val="en-US" w:eastAsia="lt-LT"/>
          <w14:ligatures w14:val="none"/>
        </w:rPr>
        <w:t xml:space="preserve"> </w:t>
      </w:r>
      <w:r w:rsidR="00D83B81" w:rsidRPr="00E70214">
        <w:rPr>
          <w:rFonts w:ascii="Arial" w:eastAsia="Times New Roman" w:hAnsi="Arial" w:cs="Arial"/>
          <w:kern w:val="0"/>
          <w:sz w:val="20"/>
          <w:szCs w:val="20"/>
          <w:lang w:val="en-US" w:eastAsia="lt-LT"/>
          <w14:ligatures w14:val="none"/>
        </w:rPr>
        <w:t xml:space="preserve"> </w:t>
      </w:r>
      <w:r w:rsidR="00ED780A" w:rsidRPr="00E70214">
        <w:rPr>
          <w:rFonts w:ascii="Arial" w:eastAsia="Times New Roman" w:hAnsi="Arial" w:cs="Arial"/>
          <w:kern w:val="0"/>
          <w:sz w:val="20"/>
          <w:szCs w:val="20"/>
          <w:lang w:val="en-US" w:eastAsia="lt-LT"/>
          <w14:ligatures w14:val="none"/>
        </w:rPr>
        <w:t xml:space="preserve"> </w:t>
      </w:r>
      <w:r w:rsidR="0059468A" w:rsidRPr="00E70214" w:rsidDel="00B064C8">
        <w:rPr>
          <w:rFonts w:ascii="Arial" w:eastAsia="Times New Roman" w:hAnsi="Arial" w:cs="Arial"/>
          <w:kern w:val="0"/>
          <w:sz w:val="20"/>
          <w:szCs w:val="20"/>
          <w:lang w:val="en-US" w:eastAsia="lt-LT"/>
          <w14:ligatures w14:val="none"/>
        </w:rPr>
        <w:br/>
      </w:r>
    </w:p>
    <w:p w14:paraId="06045FB1" w14:textId="107D41B2" w:rsidR="000341BA" w:rsidRPr="00E70214" w:rsidRDefault="00272B7B" w:rsidP="000341BA">
      <w:pPr>
        <w:shd w:val="clear" w:color="auto" w:fill="FFFFFF"/>
        <w:spacing w:after="0" w:line="240" w:lineRule="auto"/>
        <w:ind w:firstLine="993"/>
        <w:jc w:val="both"/>
        <w:rPr>
          <w:rFonts w:ascii="Arial" w:eastAsia="Times New Roman" w:hAnsi="Arial" w:cs="Arial"/>
          <w:kern w:val="0"/>
          <w:sz w:val="20"/>
          <w:szCs w:val="20"/>
          <w:lang w:val="en-US" w:eastAsia="lt-LT"/>
          <w14:ligatures w14:val="none"/>
        </w:rPr>
      </w:pPr>
      <w:r w:rsidRPr="00E70214">
        <w:rPr>
          <w:rFonts w:ascii="Arial" w:eastAsia="Times New Roman" w:hAnsi="Arial" w:cs="Arial"/>
          <w:color w:val="000000"/>
          <w:kern w:val="0"/>
          <w:sz w:val="20"/>
          <w:szCs w:val="20"/>
          <w:lang w:val="en-US" w:eastAsia="lt-LT"/>
          <w14:ligatures w14:val="none"/>
        </w:rPr>
        <w:t>–</w:t>
      </w:r>
      <w:r w:rsidR="000341BA" w:rsidRPr="00E70214">
        <w:rPr>
          <w:rFonts w:ascii="Arial" w:eastAsia="Times New Roman" w:hAnsi="Arial" w:cs="Arial"/>
          <w:kern w:val="0"/>
          <w:sz w:val="20"/>
          <w:szCs w:val="20"/>
          <w:lang w:val="en-US" w:eastAsia="lt-LT"/>
          <w14:ligatures w14:val="none"/>
        </w:rPr>
        <w:t xml:space="preserve">  </w:t>
      </w:r>
      <w:r w:rsidRPr="00E70214">
        <w:rPr>
          <w:rFonts w:ascii="Arial" w:eastAsia="Times New Roman" w:hAnsi="Arial" w:cs="Arial"/>
          <w:color w:val="000000"/>
          <w:kern w:val="0"/>
          <w:sz w:val="20"/>
          <w:szCs w:val="20"/>
          <w:lang w:val="en-US" w:eastAsia="lt-LT"/>
          <w14:ligatures w14:val="none"/>
        </w:rPr>
        <w:t> a fixed portion of remuneration in euros, allocated to the EETS provider for active OBU;</w:t>
      </w:r>
      <w:r w:rsidR="00F04717" w:rsidRPr="00E70214">
        <w:rPr>
          <w:rFonts w:ascii="Arial" w:eastAsia="Times New Roman" w:hAnsi="Arial" w:cs="Arial"/>
          <w:kern w:val="0"/>
          <w:sz w:val="20"/>
          <w:szCs w:val="20"/>
          <w:lang w:val="en-US" w:eastAsia="lt-LT"/>
          <w14:ligatures w14:val="none"/>
        </w:rPr>
        <w:t xml:space="preserve"> </w:t>
      </w:r>
    </w:p>
    <w:p w14:paraId="70D7AE17" w14:textId="1F76D05E" w:rsidR="000341BA" w:rsidRPr="00E70214" w:rsidRDefault="000B0890" w:rsidP="000341BA">
      <w:pPr>
        <w:shd w:val="clear" w:color="auto" w:fill="FFFFFF"/>
        <w:spacing w:after="0" w:line="240" w:lineRule="auto"/>
        <w:ind w:firstLine="993"/>
        <w:jc w:val="both"/>
        <w:rPr>
          <w:rFonts w:ascii="Arial" w:eastAsia="Times New Roman" w:hAnsi="Arial" w:cs="Arial"/>
          <w:kern w:val="0"/>
          <w:sz w:val="20"/>
          <w:szCs w:val="20"/>
          <w:lang w:val="en-US" w:eastAsia="lt-LT"/>
          <w14:ligatures w14:val="none"/>
        </w:rPr>
      </w:pPr>
      <m:oMathPara>
        <m:oMath>
          <m:r>
            <m:rPr>
              <m:sty m:val="p"/>
            </m:rPr>
            <w:rPr>
              <w:rFonts w:ascii="Cambria Math" w:eastAsia="Times New Roman" w:hAnsi="Cambria Math" w:cs="Arial"/>
              <w:kern w:val="0"/>
              <w:sz w:val="20"/>
              <w:szCs w:val="20"/>
              <w:lang w:val="en-US" w:eastAsia="lt-LT"/>
              <w14:ligatures w14:val="none"/>
            </w:rPr>
            <w:br/>
          </m:r>
        </m:oMath>
        <m:oMath>
          <m:r>
            <m:rPr>
              <m:sty m:val="bi"/>
            </m:rPr>
            <w:rPr>
              <w:rFonts w:ascii="Cambria Math" w:eastAsia="Times New Roman" w:hAnsi="Cambria Math" w:cs="Arial"/>
              <w:kern w:val="0"/>
              <w:sz w:val="20"/>
              <w:szCs w:val="20"/>
              <w:lang w:val="en-US" w:eastAsia="lt-LT"/>
              <w14:ligatures w14:val="none"/>
            </w:rPr>
            <m:t>ChargedToll</m:t>
          </m:r>
          <m:r>
            <m:rPr>
              <m:sty m:val="p"/>
            </m:rPr>
            <w:rPr>
              <w:rFonts w:ascii="Cambria Math" w:eastAsia="Times New Roman" w:hAnsi="Cambria Math" w:cs="Arial"/>
              <w:kern w:val="0"/>
              <w:sz w:val="20"/>
              <w:szCs w:val="20"/>
              <w:lang w:val="en-US" w:eastAsia="lt-LT"/>
              <w14:ligatures w14:val="none"/>
            </w:rPr>
            <w:br/>
          </m:r>
        </m:oMath>
      </m:oMathPara>
    </w:p>
    <w:p w14:paraId="350E3296" w14:textId="0370A2D6" w:rsidR="00096928" w:rsidRPr="00E70214" w:rsidRDefault="000341BA" w:rsidP="000341BA">
      <w:pPr>
        <w:shd w:val="clear" w:color="auto" w:fill="FFFFFF"/>
        <w:spacing w:after="0" w:line="240" w:lineRule="auto"/>
        <w:ind w:firstLine="993"/>
        <w:jc w:val="both"/>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r w:rsidR="00272B7B" w:rsidRPr="00E70214">
        <w:rPr>
          <w:rFonts w:ascii="Arial" w:eastAsia="Times New Roman" w:hAnsi="Arial" w:cs="Arial"/>
          <w:kern w:val="0"/>
          <w:sz w:val="20"/>
          <w:szCs w:val="20"/>
          <w:lang w:val="en-US" w:eastAsia="lt-LT"/>
          <w14:ligatures w14:val="none"/>
        </w:rPr>
        <w:t>actual toll collected by EETS provider per month, expressed in euros;</w:t>
      </w:r>
      <w:r w:rsidRPr="00E70214">
        <w:rPr>
          <w:rFonts w:ascii="Arial" w:eastAsia="Times New Roman" w:hAnsi="Arial" w:cs="Arial"/>
          <w:kern w:val="0"/>
          <w:sz w:val="20"/>
          <w:szCs w:val="20"/>
          <w:lang w:val="en-US" w:eastAsia="lt-LT"/>
          <w14:ligatures w14:val="none"/>
        </w:rPr>
        <w:t> </w:t>
      </w:r>
    </w:p>
    <w:p w14:paraId="18FA8399" w14:textId="77777777" w:rsidR="00096928" w:rsidRPr="00E70214" w:rsidRDefault="00096928" w:rsidP="00096928">
      <w:pPr>
        <w:shd w:val="clear" w:color="auto" w:fill="FFFFFF"/>
        <w:spacing w:after="0" w:line="240" w:lineRule="auto"/>
        <w:ind w:firstLine="993"/>
        <w:jc w:val="both"/>
        <w:rPr>
          <w:rFonts w:ascii="Arial" w:eastAsia="Times New Roman" w:hAnsi="Arial" w:cs="Arial"/>
          <w:kern w:val="0"/>
          <w:sz w:val="20"/>
          <w:szCs w:val="20"/>
          <w:lang w:val="en-US" w:eastAsia="lt-LT"/>
          <w14:ligatures w14:val="none"/>
        </w:rPr>
      </w:pPr>
    </w:p>
    <w:p w14:paraId="015E3CEF" w14:textId="6E094AF6" w:rsidR="00096928" w:rsidRPr="00E70214" w:rsidRDefault="00272B7B" w:rsidP="00096928">
      <w:pPr>
        <w:shd w:val="clear" w:color="auto" w:fill="FFFFFF"/>
        <w:spacing w:after="0" w:line="240" w:lineRule="auto"/>
        <w:ind w:firstLine="993"/>
        <w:jc w:val="both"/>
        <w:rPr>
          <w:rFonts w:ascii="Arial" w:eastAsia="Times New Roman" w:hAnsi="Arial" w:cs="Arial"/>
          <w:b/>
          <w:bCs/>
          <w:i/>
          <w:kern w:val="0"/>
          <w:sz w:val="20"/>
          <w:szCs w:val="20"/>
          <w:lang w:val="en-US" w:eastAsia="lt-LT"/>
          <w14:ligatures w14:val="none"/>
        </w:rPr>
      </w:pPr>
      <m:oMathPara>
        <m:oMath>
          <m:r>
            <m:rPr>
              <m:sty m:val="bi"/>
            </m:rPr>
            <w:rPr>
              <w:rFonts w:ascii="Cambria Math" w:eastAsia="Times New Roman" w:hAnsi="Cambria Math" w:cs="Arial"/>
              <w:kern w:val="0"/>
              <w:sz w:val="20"/>
              <w:szCs w:val="20"/>
              <w:lang w:val="en-US" w:eastAsia="lt-LT"/>
              <w14:ligatures w14:val="none"/>
            </w:rPr>
            <m:t>ActiveOBUquantity</m:t>
          </m:r>
        </m:oMath>
      </m:oMathPara>
    </w:p>
    <w:p w14:paraId="33045799" w14:textId="77777777" w:rsidR="00E12328" w:rsidRPr="00E70214" w:rsidRDefault="00E12328" w:rsidP="00096928">
      <w:pPr>
        <w:shd w:val="clear" w:color="auto" w:fill="FFFFFF"/>
        <w:spacing w:after="0" w:line="240" w:lineRule="auto"/>
        <w:ind w:firstLine="993"/>
        <w:jc w:val="both"/>
        <w:rPr>
          <w:rFonts w:ascii="Arial" w:eastAsia="Times New Roman" w:hAnsi="Arial" w:cs="Arial"/>
          <w:b/>
          <w:bCs/>
          <w:i/>
          <w:kern w:val="0"/>
          <w:sz w:val="20"/>
          <w:szCs w:val="20"/>
          <w:lang w:val="en-US" w:eastAsia="lt-LT"/>
          <w14:ligatures w14:val="none"/>
        </w:rPr>
      </w:pPr>
    </w:p>
    <w:p w14:paraId="17544464" w14:textId="650C154E" w:rsidR="00096928" w:rsidRPr="00E70214" w:rsidRDefault="00096928" w:rsidP="00096928">
      <w:pPr>
        <w:shd w:val="clear" w:color="auto" w:fill="FFFFFF"/>
        <w:spacing w:after="0" w:line="240" w:lineRule="auto"/>
        <w:ind w:firstLine="993"/>
        <w:jc w:val="both"/>
        <w:rPr>
          <w:rFonts w:ascii="Arial" w:eastAsia="Times New Roman" w:hAnsi="Arial" w:cs="Arial"/>
          <w:kern w:val="0"/>
          <w:sz w:val="20"/>
          <w:szCs w:val="20"/>
          <w:lang w:val="en-US" w:eastAsia="lt-LT"/>
          <w14:ligatures w14:val="none"/>
        </w:rPr>
      </w:pPr>
      <w:r w:rsidRPr="00E70214">
        <w:rPr>
          <w:rFonts w:ascii="Arial" w:hAnsi="Arial" w:cs="Arial"/>
          <w:sz w:val="20"/>
          <w:szCs w:val="20"/>
          <w:lang w:val="en-US" w:eastAsia="lt-LT"/>
        </w:rPr>
        <w:t xml:space="preserve">- </w:t>
      </w:r>
      <w:r w:rsidR="00272B7B" w:rsidRPr="00E70214">
        <w:rPr>
          <w:rFonts w:ascii="Arial" w:hAnsi="Arial" w:cs="Arial"/>
          <w:sz w:val="20"/>
          <w:szCs w:val="20"/>
          <w:lang w:val="en-US" w:eastAsia="lt-LT"/>
        </w:rPr>
        <w:t>actual number of OBU that registered at least one paid trip in the toll territory of the Republic of Lithuania during the reporting month.</w:t>
      </w:r>
    </w:p>
    <w:p w14:paraId="1D3E8951" w14:textId="78998848" w:rsidR="000341BA" w:rsidRPr="00E70214" w:rsidRDefault="000341BA" w:rsidP="000341BA">
      <w:pPr>
        <w:shd w:val="clear" w:color="auto" w:fill="FFFFFF"/>
        <w:spacing w:after="0" w:line="240" w:lineRule="auto"/>
        <w:ind w:firstLine="993"/>
        <w:jc w:val="both"/>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03269DB4" w14:textId="77777777" w:rsidR="000341BA" w:rsidRPr="00E70214" w:rsidRDefault="000341BA" w:rsidP="000341BA">
      <w:pPr>
        <w:spacing w:after="0" w:line="240" w:lineRule="auto"/>
        <w:ind w:left="720"/>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7B7CBB7C" w14:textId="19433383" w:rsidR="000341BA" w:rsidRPr="00E70214" w:rsidRDefault="001C41BA" w:rsidP="000341BA">
      <w:pPr>
        <w:numPr>
          <w:ilvl w:val="0"/>
          <w:numId w:val="1"/>
        </w:numPr>
        <w:spacing w:after="0" w:line="240" w:lineRule="auto"/>
        <w:ind w:firstLine="0"/>
        <w:jc w:val="center"/>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b/>
          <w:bCs/>
          <w:kern w:val="0"/>
          <w:sz w:val="20"/>
          <w:szCs w:val="20"/>
          <w:lang w:val="en-US" w:eastAsia="lt-LT"/>
          <w14:ligatures w14:val="none"/>
        </w:rPr>
        <w:t>Percentage part of remuneration</w:t>
      </w:r>
    </w:p>
    <w:p w14:paraId="5A89B425" w14:textId="77777777" w:rsidR="000312C2" w:rsidRPr="00E70214" w:rsidRDefault="000312C2" w:rsidP="000312C2">
      <w:pPr>
        <w:spacing w:after="0" w:line="240" w:lineRule="auto"/>
        <w:ind w:left="720"/>
        <w:textAlignment w:val="baseline"/>
        <w:rPr>
          <w:rFonts w:ascii="Arial" w:eastAsia="Times New Roman" w:hAnsi="Arial" w:cs="Arial"/>
          <w:kern w:val="0"/>
          <w:sz w:val="20"/>
          <w:szCs w:val="20"/>
          <w:lang w:val="en-US" w:eastAsia="lt-LT"/>
          <w14:ligatures w14:val="none"/>
        </w:rPr>
      </w:pPr>
    </w:p>
    <w:p w14:paraId="767A3083" w14:textId="77AA7377" w:rsidR="000341BA" w:rsidRPr="00E70214" w:rsidRDefault="00E70214" w:rsidP="000341BA">
      <w:pPr>
        <w:pStyle w:val="ListParagraph"/>
        <w:numPr>
          <w:ilvl w:val="1"/>
          <w:numId w:val="6"/>
        </w:numPr>
        <w:tabs>
          <w:tab w:val="left" w:pos="1134"/>
        </w:tabs>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The fixed percentage-based remuneration part</w:t>
      </w:r>
      <w:r w:rsidR="000341BA" w:rsidRPr="00E70214">
        <w:rPr>
          <w:rFonts w:ascii="Arial" w:eastAsia="Times New Roman" w:hAnsi="Arial" w:cs="Arial"/>
          <w:kern w:val="0"/>
          <w:sz w:val="20"/>
          <w:szCs w:val="20"/>
          <w:lang w:val="en-US" w:eastAsia="lt-LT"/>
          <w14:ligatures w14:val="none"/>
        </w:rPr>
        <w:t xml:space="preserve"> </w:t>
      </w:r>
      <w:r w:rsidR="000B14AD" w:rsidRPr="00E70214">
        <w:rPr>
          <w:rFonts w:ascii="Arial" w:eastAsia="Times New Roman" w:hAnsi="Arial" w:cs="Arial"/>
          <w:kern w:val="0"/>
          <w:sz w:val="20"/>
          <w:szCs w:val="20"/>
          <w:lang w:val="en-US" w:eastAsia="lt-LT"/>
          <w14:ligatures w14:val="none"/>
        </w:rPr>
        <w:t>(</w:t>
      </w:r>
      <m:oMath>
        <m:sSub>
          <m:sSubPr>
            <m:ctrlPr>
              <w:rPr>
                <w:rFonts w:ascii="Cambria Math" w:eastAsia="Times New Roman" w:hAnsi="Cambria Math" w:cs="Arial"/>
                <w:kern w:val="0"/>
                <w:sz w:val="20"/>
                <w:szCs w:val="20"/>
                <w:lang w:val="en-US" w:eastAsia="lt-LT"/>
                <w14:ligatures w14:val="none"/>
              </w:rPr>
            </m:ctrlPr>
          </m:sSubPr>
          <m:e>
            <m:r>
              <m:rPr>
                <m:sty m:val="bi"/>
              </m:rPr>
              <w:rPr>
                <w:rFonts w:ascii="Cambria Math" w:eastAsia="Times New Roman" w:hAnsi="Cambria Math" w:cs="Arial"/>
                <w:kern w:val="0"/>
                <w:sz w:val="20"/>
                <w:szCs w:val="20"/>
                <w:lang w:val="en-US" w:eastAsia="lt-LT"/>
                <w14:ligatures w14:val="none"/>
              </w:rPr>
              <m:t>Remuneration</m:t>
            </m:r>
          </m:e>
          <m:sub>
            <m:r>
              <m:rPr>
                <m:sty m:val="bi"/>
              </m:rPr>
              <w:rPr>
                <w:rFonts w:ascii="Cambria Math" w:eastAsia="Times New Roman" w:hAnsi="Cambria Math" w:cs="Arial"/>
                <w:kern w:val="0"/>
                <w:sz w:val="20"/>
                <w:szCs w:val="20"/>
                <w:lang w:val="en-US" w:eastAsia="lt-LT"/>
                <w14:ligatures w14:val="none"/>
              </w:rPr>
              <m:t>perc</m:t>
            </m:r>
          </m:sub>
        </m:sSub>
      </m:oMath>
      <w:r w:rsidR="000B14AD" w:rsidRPr="00E70214">
        <w:rPr>
          <w:rFonts w:ascii="Arial" w:eastAsia="Times New Roman" w:hAnsi="Arial" w:cs="Arial"/>
          <w:kern w:val="0"/>
          <w:sz w:val="20"/>
          <w:szCs w:val="20"/>
          <w:lang w:val="en-US" w:eastAsia="lt-LT"/>
          <w14:ligatures w14:val="none"/>
        </w:rPr>
        <w:t xml:space="preserve">)  </w:t>
      </w:r>
      <w:r w:rsidRPr="00E70214">
        <w:rPr>
          <w:rFonts w:ascii="Arial" w:eastAsia="Times New Roman" w:hAnsi="Arial" w:cs="Arial"/>
          <w:kern w:val="0"/>
          <w:sz w:val="20"/>
          <w:szCs w:val="20"/>
          <w:lang w:val="en-US" w:eastAsia="lt-LT"/>
          <w14:ligatures w14:val="none"/>
        </w:rPr>
        <w:t>is expressed as a percentage and shall be payable to the EETS Provider in respect of the road tolls collected.</w:t>
      </w:r>
      <w:r w:rsidR="000B14AD" w:rsidRPr="00E70214">
        <w:rPr>
          <w:rFonts w:ascii="Arial" w:eastAsia="Times New Roman" w:hAnsi="Arial" w:cs="Arial"/>
          <w:kern w:val="0"/>
          <w:sz w:val="20"/>
          <w:szCs w:val="20"/>
          <w:lang w:val="en-US" w:eastAsia="lt-LT"/>
          <w14:ligatures w14:val="none"/>
        </w:rPr>
        <w:t xml:space="preserve"> </w:t>
      </w:r>
      <w:r w:rsidRPr="00E70214">
        <w:rPr>
          <w:rFonts w:ascii="Arial" w:eastAsia="Times New Roman" w:hAnsi="Arial" w:cs="Arial"/>
          <w:kern w:val="0"/>
          <w:sz w:val="20"/>
          <w:szCs w:val="20"/>
          <w:lang w:val="en-US" w:eastAsia="lt-LT"/>
          <w14:ligatures w14:val="none"/>
        </w:rPr>
        <w:t>This component of the remuneration is determined on the basis of the cost savings approach, i.e. the costs that are not incurred by the Toll Charger because the corresponding functions are performed by the EETS Provider, including, but not limited to, customer service, registration of EETS Users, administration of vehicle registration and classification data, collection and transmission of data, payment administration, operation of information systems and other EETS-related activities and expenses</w:t>
      </w:r>
      <w:r w:rsidR="000341BA" w:rsidRPr="00E70214">
        <w:rPr>
          <w:rFonts w:ascii="Arial" w:eastAsia="Times New Roman" w:hAnsi="Arial" w:cs="Arial"/>
          <w:kern w:val="0"/>
          <w:sz w:val="20"/>
          <w:szCs w:val="20"/>
          <w:lang w:val="en-US" w:eastAsia="lt-LT"/>
          <w14:ligatures w14:val="none"/>
        </w:rPr>
        <w:t xml:space="preserve">; </w:t>
      </w:r>
      <w:r w:rsidRPr="00E70214">
        <w:rPr>
          <w:rFonts w:ascii="Arial" w:eastAsia="Times New Roman" w:hAnsi="Arial" w:cs="Arial"/>
          <w:kern w:val="0"/>
          <w:sz w:val="20"/>
          <w:szCs w:val="20"/>
          <w:lang w:val="en-US" w:eastAsia="lt-LT"/>
          <w14:ligatures w14:val="none"/>
        </w:rPr>
        <w:t>This remuneration component shall also take into account the risks assumed by the EETS Provider, including risks relating to data accuracy, timeliness of data transmission and the registration of EETS Users.</w:t>
      </w:r>
    </w:p>
    <w:p w14:paraId="48A40FEB" w14:textId="1D1E7D77" w:rsidR="000341BA" w:rsidRPr="00E70214" w:rsidRDefault="00E70214" w:rsidP="000341BA">
      <w:pPr>
        <w:pStyle w:val="ListParagraph"/>
        <w:numPr>
          <w:ilvl w:val="1"/>
          <w:numId w:val="6"/>
        </w:numPr>
        <w:tabs>
          <w:tab w:val="left" w:pos="1134"/>
        </w:tabs>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xml:space="preserve">Percentage-Based Remuneration Payable to the EETS Provider </w:t>
      </w:r>
      <w:r w:rsidR="000341BA" w:rsidRPr="00E70214">
        <w:rPr>
          <w:rFonts w:ascii="Arial" w:eastAsia="Times New Roman" w:hAnsi="Arial" w:cs="Arial"/>
          <w:kern w:val="0"/>
          <w:sz w:val="20"/>
          <w:szCs w:val="20"/>
          <w:lang w:val="en-US" w:eastAsia="lt-LT"/>
          <w14:ligatures w14:val="none"/>
        </w:rPr>
        <w:t xml:space="preserve">– </w:t>
      </w:r>
      <w:r w:rsidR="000341BA" w:rsidRPr="00E70214">
        <w:rPr>
          <w:rFonts w:ascii="Arial" w:eastAsia="Times New Roman" w:hAnsi="Arial" w:cs="Arial"/>
          <w:b/>
          <w:bCs/>
          <w:kern w:val="0"/>
          <w:sz w:val="20"/>
          <w:szCs w:val="20"/>
          <w:lang w:val="en-US" w:eastAsia="lt-LT"/>
          <w14:ligatures w14:val="none"/>
        </w:rPr>
        <w:t>2,0 proc</w:t>
      </w:r>
      <w:r w:rsidR="000341BA" w:rsidRPr="00E70214">
        <w:rPr>
          <w:rFonts w:ascii="Arial" w:eastAsia="Times New Roman" w:hAnsi="Arial" w:cs="Arial"/>
          <w:kern w:val="0"/>
          <w:sz w:val="20"/>
          <w:szCs w:val="20"/>
          <w:lang w:val="en-US" w:eastAsia="lt-LT"/>
          <w14:ligatures w14:val="none"/>
        </w:rPr>
        <w:t>. </w:t>
      </w:r>
    </w:p>
    <w:p w14:paraId="0ED0E0EA" w14:textId="77777777" w:rsidR="000341BA" w:rsidRPr="00E70214" w:rsidRDefault="000341BA" w:rsidP="000341BA">
      <w:pPr>
        <w:spacing w:after="0" w:line="240" w:lineRule="auto"/>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7E51357D" w14:textId="3A8D8E2B" w:rsidR="000341BA" w:rsidRPr="00E70214" w:rsidRDefault="001C41BA" w:rsidP="000341BA">
      <w:pPr>
        <w:pStyle w:val="ListParagraph"/>
        <w:numPr>
          <w:ilvl w:val="0"/>
          <w:numId w:val="6"/>
        </w:numPr>
        <w:spacing w:after="0" w:line="240" w:lineRule="auto"/>
        <w:jc w:val="center"/>
        <w:textAlignment w:val="baseline"/>
        <w:rPr>
          <w:rFonts w:ascii="Arial" w:eastAsia="Times New Roman" w:hAnsi="Arial" w:cs="Arial"/>
          <w:b/>
          <w:bCs/>
          <w:kern w:val="0"/>
          <w:sz w:val="20"/>
          <w:szCs w:val="20"/>
          <w:lang w:val="en-US" w:eastAsia="lt-LT"/>
          <w14:ligatures w14:val="none"/>
        </w:rPr>
      </w:pPr>
      <w:r w:rsidRPr="00E70214">
        <w:rPr>
          <w:rFonts w:ascii="Arial" w:eastAsia="Times New Roman" w:hAnsi="Arial" w:cs="Arial"/>
          <w:b/>
          <w:bCs/>
          <w:kern w:val="0"/>
          <w:sz w:val="20"/>
          <w:szCs w:val="20"/>
          <w:lang w:val="en-US" w:eastAsia="lt-LT"/>
          <w14:ligatures w14:val="none"/>
        </w:rPr>
        <w:t>Fixed part of remuneration</w:t>
      </w:r>
      <w:r w:rsidR="005061EF" w:rsidRPr="00E70214">
        <w:rPr>
          <w:rFonts w:ascii="Arial" w:eastAsia="Times New Roman" w:hAnsi="Arial" w:cs="Arial"/>
          <w:b/>
          <w:bCs/>
          <w:kern w:val="0"/>
          <w:sz w:val="20"/>
          <w:szCs w:val="20"/>
          <w:lang w:val="en-US" w:eastAsia="lt-LT"/>
          <w14:ligatures w14:val="none"/>
        </w:rPr>
        <w:t xml:space="preserve"> </w:t>
      </w:r>
    </w:p>
    <w:p w14:paraId="0C7DFD5D" w14:textId="77777777" w:rsidR="000341BA" w:rsidRPr="00E70214" w:rsidRDefault="000341BA" w:rsidP="000341BA">
      <w:pPr>
        <w:pStyle w:val="ListParagraph"/>
        <w:spacing w:after="0" w:line="240" w:lineRule="auto"/>
        <w:ind w:left="360"/>
        <w:textAlignment w:val="baseline"/>
        <w:rPr>
          <w:rFonts w:ascii="Arial" w:eastAsia="Times New Roman" w:hAnsi="Arial" w:cs="Arial"/>
          <w:kern w:val="0"/>
          <w:sz w:val="20"/>
          <w:szCs w:val="20"/>
          <w:lang w:val="en-US" w:eastAsia="lt-LT"/>
          <w14:ligatures w14:val="none"/>
        </w:rPr>
      </w:pPr>
    </w:p>
    <w:p w14:paraId="586DA37D" w14:textId="696330EA" w:rsidR="000341BA" w:rsidRPr="00F700D5" w:rsidRDefault="00E70214" w:rsidP="000341BA">
      <w:pPr>
        <w:pStyle w:val="ListParagraph"/>
        <w:numPr>
          <w:ilvl w:val="1"/>
          <w:numId w:val="6"/>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 xml:space="preserve">The fixed remuneration part is intended to </w:t>
      </w:r>
      <w:r w:rsidR="00465F67" w:rsidRPr="00F700D5">
        <w:rPr>
          <w:rFonts w:ascii="Arial" w:eastAsia="Times New Roman" w:hAnsi="Arial" w:cs="Arial"/>
          <w:kern w:val="0"/>
          <w:sz w:val="20"/>
          <w:szCs w:val="20"/>
          <w:lang w:val="en-US" w:eastAsia="lt-LT"/>
          <w14:ligatures w14:val="none"/>
        </w:rPr>
        <w:t>incentivize</w:t>
      </w:r>
      <w:r w:rsidRPr="00F700D5">
        <w:rPr>
          <w:rFonts w:ascii="Arial" w:eastAsia="Times New Roman" w:hAnsi="Arial" w:cs="Arial"/>
          <w:kern w:val="0"/>
          <w:sz w:val="20"/>
          <w:szCs w:val="20"/>
          <w:lang w:val="en-US" w:eastAsia="lt-LT"/>
          <w14:ligatures w14:val="none"/>
        </w:rPr>
        <w:t xml:space="preserve"> EETS Providers to actively expand the use of EETS services within the territory of the Republic of Lithuania and to compensate for the additional costs incurred by the EETS Provider in acquiring new EETS Users.</w:t>
      </w:r>
      <w:r w:rsidR="000341BA" w:rsidRPr="00F700D5">
        <w:rPr>
          <w:rFonts w:ascii="Arial" w:eastAsia="Times New Roman" w:hAnsi="Arial" w:cs="Arial"/>
          <w:kern w:val="0"/>
          <w:sz w:val="20"/>
          <w:szCs w:val="20"/>
          <w:lang w:val="en-US" w:eastAsia="lt-LT"/>
          <w14:ligatures w14:val="none"/>
        </w:rPr>
        <w:t>  </w:t>
      </w:r>
    </w:p>
    <w:p w14:paraId="0125CFED" w14:textId="348ECA2D" w:rsidR="000341BA" w:rsidRPr="00F700D5" w:rsidRDefault="00E70214" w:rsidP="000341BA">
      <w:pPr>
        <w:pStyle w:val="ListParagraph"/>
        <w:numPr>
          <w:ilvl w:val="1"/>
          <w:numId w:val="6"/>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The fixed remuneration part</w:t>
      </w:r>
      <w:r w:rsidRPr="00F700D5">
        <w:rPr>
          <w:rFonts w:ascii="Arial" w:eastAsia="Times New Roman" w:hAnsi="Arial" w:cs="Arial"/>
          <w:b/>
          <w:bCs/>
          <w:kern w:val="0"/>
          <w:sz w:val="20"/>
          <w:szCs w:val="20"/>
          <w:lang w:val="en-US" w:eastAsia="lt-LT"/>
          <w14:ligatures w14:val="none"/>
        </w:rPr>
        <w:t xml:space="preserve"> </w:t>
      </w:r>
      <w:r w:rsidR="000341BA" w:rsidRPr="00F700D5">
        <w:rPr>
          <w:rFonts w:ascii="Arial" w:eastAsia="Times New Roman" w:hAnsi="Arial" w:cs="Arial"/>
          <w:b/>
          <w:bCs/>
          <w:kern w:val="0"/>
          <w:sz w:val="20"/>
          <w:szCs w:val="20"/>
          <w:lang w:val="en-US" w:eastAsia="lt-LT"/>
          <w14:ligatures w14:val="none"/>
        </w:rPr>
        <w:t>(</w:t>
      </w:r>
      <m:oMath>
        <m:sSub>
          <m:sSubPr>
            <m:ctrlPr>
              <w:rPr>
                <w:rFonts w:ascii="Cambria Math" w:eastAsia="Times New Roman" w:hAnsi="Cambria Math" w:cs="Arial"/>
                <w:kern w:val="0"/>
                <w:sz w:val="20"/>
                <w:szCs w:val="20"/>
                <w:lang w:val="en-US" w:eastAsia="lt-LT"/>
                <w14:ligatures w14:val="none"/>
              </w:rPr>
            </m:ctrlPr>
          </m:sSubPr>
          <m:e>
            <m:r>
              <m:rPr>
                <m:sty m:val="bi"/>
              </m:rPr>
              <w:rPr>
                <w:rFonts w:ascii="Cambria Math" w:eastAsia="Times New Roman" w:hAnsi="Cambria Math" w:cs="Arial"/>
                <w:kern w:val="0"/>
                <w:sz w:val="20"/>
                <w:szCs w:val="20"/>
                <w:lang w:val="en-US" w:eastAsia="lt-LT"/>
                <w14:ligatures w14:val="none"/>
              </w:rPr>
              <m:t>Remuneration</m:t>
            </m:r>
          </m:e>
          <m:sub>
            <m:r>
              <w:rPr>
                <w:rFonts w:ascii="Cambria Math" w:eastAsia="Times New Roman" w:hAnsi="Cambria Math" w:cs="Arial"/>
                <w:kern w:val="0"/>
                <w:sz w:val="20"/>
                <w:szCs w:val="20"/>
                <w:lang w:val="en-US" w:eastAsia="lt-LT"/>
                <w14:ligatures w14:val="none"/>
              </w:rPr>
              <m:t>fiks</m:t>
            </m:r>
          </m:sub>
        </m:sSub>
      </m:oMath>
      <w:r w:rsidR="00D13CB1" w:rsidRPr="00F700D5">
        <w:rPr>
          <w:rFonts w:ascii="Arial" w:eastAsia="Times New Roman" w:hAnsi="Arial" w:cs="Arial"/>
          <w:b/>
          <w:bCs/>
          <w:kern w:val="0"/>
          <w:sz w:val="20"/>
          <w:szCs w:val="20"/>
          <w:lang w:val="en-US" w:eastAsia="lt-LT"/>
          <w14:ligatures w14:val="none"/>
        </w:rPr>
        <w:t>)</w:t>
      </w:r>
      <w:r w:rsidR="00D13CB1" w:rsidRPr="00F700D5" w:rsidDel="00941F8A">
        <w:rPr>
          <w:rFonts w:ascii="Arial" w:eastAsia="Times New Roman" w:hAnsi="Arial" w:cs="Arial"/>
          <w:b/>
          <w:bCs/>
          <w:kern w:val="0"/>
          <w:sz w:val="20"/>
          <w:szCs w:val="20"/>
          <w:lang w:val="en-US" w:eastAsia="lt-LT"/>
          <w14:ligatures w14:val="none"/>
        </w:rPr>
        <w:t xml:space="preserve"> </w:t>
      </w:r>
      <w:r w:rsidR="000341BA" w:rsidRPr="00F700D5">
        <w:rPr>
          <w:rFonts w:ascii="Arial" w:eastAsia="Times New Roman" w:hAnsi="Arial" w:cs="Arial"/>
          <w:kern w:val="0"/>
          <w:sz w:val="20"/>
          <w:szCs w:val="20"/>
          <w:lang w:val="en-US" w:eastAsia="lt-LT"/>
          <w14:ligatures w14:val="none"/>
        </w:rPr>
        <w:t xml:space="preserve"> </w:t>
      </w:r>
      <w:r w:rsidRPr="00F700D5">
        <w:rPr>
          <w:rFonts w:ascii="Arial" w:eastAsia="Times New Roman" w:hAnsi="Arial" w:cs="Arial"/>
          <w:kern w:val="0"/>
          <w:sz w:val="20"/>
          <w:szCs w:val="20"/>
          <w:lang w:val="en-US" w:eastAsia="lt-LT"/>
          <w14:ligatures w14:val="none"/>
        </w:rPr>
        <w:t xml:space="preserve">is payable </w:t>
      </w:r>
      <w:r w:rsidR="00465F67" w:rsidRPr="00F700D5">
        <w:rPr>
          <w:rFonts w:ascii="Arial" w:eastAsia="Times New Roman" w:hAnsi="Arial" w:cs="Arial"/>
          <w:kern w:val="0"/>
          <w:sz w:val="20"/>
          <w:szCs w:val="20"/>
          <w:lang w:val="en-US" w:eastAsia="lt-LT"/>
          <w14:ligatures w14:val="none"/>
        </w:rPr>
        <w:t>based on</w:t>
      </w:r>
      <w:r w:rsidRPr="00F700D5">
        <w:rPr>
          <w:rFonts w:ascii="Arial" w:eastAsia="Times New Roman" w:hAnsi="Arial" w:cs="Arial"/>
          <w:kern w:val="0"/>
          <w:sz w:val="20"/>
          <w:szCs w:val="20"/>
          <w:lang w:val="en-US" w:eastAsia="lt-LT"/>
          <w14:ligatures w14:val="none"/>
        </w:rPr>
        <w:t xml:space="preserve"> the number of Active OBUs of the EETS Provider within the Lithuanian EETS Domain.</w:t>
      </w:r>
    </w:p>
    <w:p w14:paraId="566C5922" w14:textId="125BCC7F" w:rsidR="00FD5404" w:rsidRPr="00F700D5" w:rsidRDefault="00E70214" w:rsidP="000341BA">
      <w:pPr>
        <w:pStyle w:val="ListParagraph"/>
        <w:numPr>
          <w:ilvl w:val="1"/>
          <w:numId w:val="6"/>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hAnsi="Arial" w:cs="Arial"/>
          <w:sz w:val="20"/>
          <w:szCs w:val="20"/>
          <w:lang w:val="en-US" w:eastAsia="lt-LT"/>
        </w:rPr>
        <w:t>Active OBU means on-board equipment installed in a vehicle for which at least one tolled trip within the toll road network of the Republic of Lithuania has been recorded during the reporting month.</w:t>
      </w:r>
      <w:r w:rsidR="000341BA" w:rsidRPr="00F700D5">
        <w:rPr>
          <w:rFonts w:ascii="Arial" w:hAnsi="Arial" w:cs="Arial"/>
          <w:sz w:val="20"/>
          <w:szCs w:val="20"/>
          <w:lang w:val="en-US" w:eastAsia="lt-LT"/>
        </w:rPr>
        <w:t> </w:t>
      </w:r>
    </w:p>
    <w:p w14:paraId="63876FC4" w14:textId="0E40D4FC" w:rsidR="000341BA" w:rsidRPr="00F700D5" w:rsidRDefault="00E70214" w:rsidP="000341BA">
      <w:pPr>
        <w:pStyle w:val="ListParagraph"/>
        <w:numPr>
          <w:ilvl w:val="1"/>
          <w:numId w:val="6"/>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 xml:space="preserve">The amount of the fixed remuneration part payable to the EETS Provider is </w:t>
      </w:r>
      <w:r w:rsidR="000341BA" w:rsidRPr="00F700D5">
        <w:rPr>
          <w:rFonts w:ascii="Arial" w:eastAsia="Times New Roman" w:hAnsi="Arial" w:cs="Arial"/>
          <w:kern w:val="0"/>
          <w:sz w:val="20"/>
          <w:szCs w:val="20"/>
          <w:lang w:val="en-US" w:eastAsia="lt-LT"/>
          <w14:ligatures w14:val="none"/>
        </w:rPr>
        <w:t xml:space="preserve">– 2 EUR </w:t>
      </w:r>
      <w:r w:rsidRPr="00F700D5">
        <w:rPr>
          <w:rFonts w:ascii="Arial" w:eastAsia="Times New Roman" w:hAnsi="Arial" w:cs="Arial"/>
          <w:kern w:val="0"/>
          <w:sz w:val="20"/>
          <w:szCs w:val="20"/>
          <w:lang w:val="en-US" w:eastAsia="lt-LT"/>
          <w14:ligatures w14:val="none"/>
        </w:rPr>
        <w:t>per Active OBU</w:t>
      </w:r>
      <w:r w:rsidR="000341BA" w:rsidRPr="00F700D5">
        <w:rPr>
          <w:rFonts w:ascii="Arial" w:eastAsia="Times New Roman" w:hAnsi="Arial" w:cs="Arial"/>
          <w:kern w:val="0"/>
          <w:sz w:val="20"/>
          <w:szCs w:val="20"/>
          <w:lang w:val="en-US" w:eastAsia="lt-LT"/>
          <w14:ligatures w14:val="none"/>
        </w:rPr>
        <w:t>. </w:t>
      </w:r>
    </w:p>
    <w:p w14:paraId="5DD79E49" w14:textId="7ECCB044" w:rsidR="000341BA" w:rsidRPr="00F700D5" w:rsidRDefault="00844D6D" w:rsidP="000341BA">
      <w:pPr>
        <w:pStyle w:val="ListParagraph"/>
        <w:numPr>
          <w:ilvl w:val="1"/>
          <w:numId w:val="6"/>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 xml:space="preserve">The fixed remuneration part is paid </w:t>
      </w:r>
      <w:r w:rsidR="00465F67" w:rsidRPr="00F700D5">
        <w:rPr>
          <w:rFonts w:ascii="Arial" w:eastAsia="Times New Roman" w:hAnsi="Arial" w:cs="Arial"/>
          <w:kern w:val="0"/>
          <w:sz w:val="20"/>
          <w:szCs w:val="20"/>
          <w:lang w:val="en-US" w:eastAsia="lt-LT"/>
          <w14:ligatures w14:val="none"/>
        </w:rPr>
        <w:t>based on</w:t>
      </w:r>
      <w:r w:rsidRPr="00F700D5">
        <w:rPr>
          <w:rFonts w:ascii="Arial" w:eastAsia="Times New Roman" w:hAnsi="Arial" w:cs="Arial"/>
          <w:kern w:val="0"/>
          <w:sz w:val="20"/>
          <w:szCs w:val="20"/>
          <w:lang w:val="en-US" w:eastAsia="lt-LT"/>
          <w14:ligatures w14:val="none"/>
        </w:rPr>
        <w:t xml:space="preserve"> the number of Active OBUs operated by the EETS Provider within the territory of Lithuania during the relevant reporting month.</w:t>
      </w:r>
    </w:p>
    <w:p w14:paraId="251CD08F" w14:textId="36C381D5" w:rsidR="00DB65B6" w:rsidRPr="00F700D5" w:rsidRDefault="00F700D5" w:rsidP="00DB65B6">
      <w:pPr>
        <w:pStyle w:val="ListParagraph"/>
        <w:numPr>
          <w:ilvl w:val="1"/>
          <w:numId w:val="6"/>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The fixed remuneration part for the service provision to the EETS provider is not paid during the Pilot phase</w:t>
      </w:r>
      <w:r w:rsidR="00DB65B6" w:rsidRPr="00F700D5">
        <w:rPr>
          <w:rFonts w:ascii="Arial" w:eastAsia="Times New Roman" w:hAnsi="Arial" w:cs="Arial"/>
          <w:kern w:val="0"/>
          <w:sz w:val="20"/>
          <w:szCs w:val="20"/>
          <w:lang w:val="en-US" w:eastAsia="lt-LT"/>
          <w14:ligatures w14:val="none"/>
        </w:rPr>
        <w:t>.  </w:t>
      </w:r>
    </w:p>
    <w:p w14:paraId="15291322" w14:textId="77777777" w:rsidR="000341BA" w:rsidRPr="00E70214" w:rsidRDefault="000341BA" w:rsidP="000341BA">
      <w:pPr>
        <w:spacing w:after="0" w:line="240" w:lineRule="auto"/>
        <w:ind w:hanging="720"/>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63CFBE97" w14:textId="5DD56DA3" w:rsidR="000341BA" w:rsidRPr="00E70214" w:rsidRDefault="000341BA" w:rsidP="000341BA">
      <w:pPr>
        <w:spacing w:after="0" w:line="240" w:lineRule="auto"/>
        <w:jc w:val="center"/>
        <w:textAlignment w:val="baseline"/>
        <w:rPr>
          <w:rFonts w:ascii="Arial" w:eastAsia="Times New Roman" w:hAnsi="Arial" w:cs="Arial"/>
          <w:b/>
          <w:bCs/>
          <w:kern w:val="0"/>
          <w:sz w:val="20"/>
          <w:szCs w:val="20"/>
          <w:lang w:val="en-US" w:eastAsia="lt-LT"/>
          <w14:ligatures w14:val="none"/>
        </w:rPr>
      </w:pPr>
      <w:r w:rsidRPr="00E70214">
        <w:rPr>
          <w:rFonts w:ascii="Arial" w:eastAsia="Times New Roman" w:hAnsi="Arial" w:cs="Arial"/>
          <w:b/>
          <w:bCs/>
          <w:kern w:val="0"/>
          <w:sz w:val="20"/>
          <w:szCs w:val="20"/>
          <w:lang w:val="en-US" w:eastAsia="lt-LT"/>
          <w14:ligatures w14:val="none"/>
        </w:rPr>
        <w:t xml:space="preserve">6. </w:t>
      </w:r>
      <w:r w:rsidR="001C41BA" w:rsidRPr="00E70214">
        <w:rPr>
          <w:rFonts w:ascii="Arial" w:eastAsia="Times New Roman" w:hAnsi="Arial" w:cs="Arial"/>
          <w:b/>
          <w:bCs/>
          <w:kern w:val="0"/>
          <w:sz w:val="20"/>
          <w:szCs w:val="20"/>
          <w:lang w:val="en-US" w:eastAsia="lt-LT"/>
          <w14:ligatures w14:val="none"/>
        </w:rPr>
        <w:t>Data ver</w:t>
      </w:r>
      <w:r w:rsidR="00F700D5">
        <w:rPr>
          <w:rFonts w:ascii="Arial" w:eastAsia="Times New Roman" w:hAnsi="Arial" w:cs="Arial"/>
          <w:b/>
          <w:bCs/>
          <w:kern w:val="0"/>
          <w:sz w:val="20"/>
          <w:szCs w:val="20"/>
          <w:lang w:val="en-US" w:eastAsia="lt-LT"/>
          <w14:ligatures w14:val="none"/>
        </w:rPr>
        <w:t>i</w:t>
      </w:r>
      <w:r w:rsidR="001C41BA" w:rsidRPr="00E70214">
        <w:rPr>
          <w:rFonts w:ascii="Arial" w:eastAsia="Times New Roman" w:hAnsi="Arial" w:cs="Arial"/>
          <w:b/>
          <w:bCs/>
          <w:kern w:val="0"/>
          <w:sz w:val="20"/>
          <w:szCs w:val="20"/>
          <w:lang w:val="en-US" w:eastAsia="lt-LT"/>
          <w14:ligatures w14:val="none"/>
        </w:rPr>
        <w:t>fication</w:t>
      </w:r>
    </w:p>
    <w:p w14:paraId="33CF8C62" w14:textId="77777777" w:rsidR="000341BA" w:rsidRPr="00E70214" w:rsidRDefault="000341BA" w:rsidP="000341BA">
      <w:pPr>
        <w:spacing w:after="0" w:line="240" w:lineRule="auto"/>
        <w:jc w:val="center"/>
        <w:textAlignment w:val="baseline"/>
        <w:rPr>
          <w:rFonts w:ascii="Arial" w:eastAsia="Times New Roman" w:hAnsi="Arial" w:cs="Arial"/>
          <w:kern w:val="0"/>
          <w:sz w:val="20"/>
          <w:szCs w:val="20"/>
          <w:lang w:val="en-US" w:eastAsia="lt-LT"/>
          <w14:ligatures w14:val="none"/>
        </w:rPr>
      </w:pPr>
    </w:p>
    <w:p w14:paraId="3C496A29" w14:textId="37424BAF" w:rsidR="000341BA" w:rsidRPr="00F700D5" w:rsidRDefault="00F700D5" w:rsidP="000341BA">
      <w:pPr>
        <w:pStyle w:val="ListParagraph"/>
        <w:numPr>
          <w:ilvl w:val="1"/>
          <w:numId w:val="7"/>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 xml:space="preserve">The data relating to collected electronic road tolls shall be verified and approved </w:t>
      </w:r>
      <w:proofErr w:type="gramStart"/>
      <w:r w:rsidRPr="00F700D5">
        <w:rPr>
          <w:rFonts w:ascii="Arial" w:eastAsia="Times New Roman" w:hAnsi="Arial" w:cs="Arial"/>
          <w:kern w:val="0"/>
          <w:sz w:val="20"/>
          <w:szCs w:val="20"/>
          <w:lang w:val="en-US" w:eastAsia="lt-LT"/>
          <w14:ligatures w14:val="none"/>
        </w:rPr>
        <w:t>on the basis of</w:t>
      </w:r>
      <w:proofErr w:type="gramEnd"/>
      <w:r w:rsidRPr="00F700D5">
        <w:rPr>
          <w:rFonts w:ascii="Arial" w:eastAsia="Times New Roman" w:hAnsi="Arial" w:cs="Arial"/>
          <w:kern w:val="0"/>
          <w:sz w:val="20"/>
          <w:szCs w:val="20"/>
          <w:lang w:val="en-US" w:eastAsia="lt-LT"/>
          <w14:ligatures w14:val="none"/>
        </w:rPr>
        <w:t xml:space="preserve"> the System reports</w:t>
      </w:r>
      <w:r w:rsidR="000341BA" w:rsidRPr="00F700D5">
        <w:rPr>
          <w:rFonts w:ascii="Arial" w:eastAsia="Times New Roman" w:hAnsi="Arial" w:cs="Arial"/>
          <w:kern w:val="0"/>
          <w:sz w:val="20"/>
          <w:szCs w:val="20"/>
          <w:lang w:val="en-US" w:eastAsia="lt-LT"/>
          <w14:ligatures w14:val="none"/>
        </w:rPr>
        <w:t>.  </w:t>
      </w:r>
    </w:p>
    <w:p w14:paraId="0CC908FF" w14:textId="70B59600" w:rsidR="00F700D5" w:rsidRPr="00F700D5" w:rsidRDefault="00F700D5" w:rsidP="000341BA">
      <w:pPr>
        <w:pStyle w:val="ListParagraph"/>
        <w:numPr>
          <w:ilvl w:val="1"/>
          <w:numId w:val="7"/>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In the event of discrepancies between the data submitted by the EETS Provider and the data held by the Company, the remuneration shall be calculated in accordance with the terms of the Agreement and based on the data approved by the Company.</w:t>
      </w:r>
    </w:p>
    <w:p w14:paraId="62FCAEB5" w14:textId="18A1B5C2" w:rsidR="000341BA" w:rsidRPr="00F700D5" w:rsidRDefault="00F700D5" w:rsidP="000341BA">
      <w:pPr>
        <w:pStyle w:val="ListParagraph"/>
        <w:numPr>
          <w:ilvl w:val="1"/>
          <w:numId w:val="7"/>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Pr>
          <w:rFonts w:ascii="Arial" w:eastAsia="Times New Roman" w:hAnsi="Arial" w:cs="Arial"/>
          <w:kern w:val="0"/>
          <w:sz w:val="20"/>
          <w:szCs w:val="20"/>
          <w:lang w:val="en-US" w:eastAsia="lt-LT"/>
          <w14:ligatures w14:val="none"/>
        </w:rPr>
        <w:t>To</w:t>
      </w:r>
      <w:r w:rsidRPr="00F700D5">
        <w:rPr>
          <w:rFonts w:ascii="Arial" w:eastAsia="Times New Roman" w:hAnsi="Arial" w:cs="Arial"/>
          <w:kern w:val="0"/>
          <w:sz w:val="20"/>
          <w:szCs w:val="20"/>
          <w:lang w:val="en-US" w:eastAsia="lt-LT"/>
          <w14:ligatures w14:val="none"/>
        </w:rPr>
        <w:t xml:space="preserve"> ensure fiscal stability and proportionality, the total remuneration payable to the EETS Provider shall not exceed 6.0% of the tolls </w:t>
      </w:r>
      <w:proofErr w:type="gramStart"/>
      <w:r w:rsidRPr="00F700D5">
        <w:rPr>
          <w:rFonts w:ascii="Arial" w:eastAsia="Times New Roman" w:hAnsi="Arial" w:cs="Arial"/>
          <w:kern w:val="0"/>
          <w:sz w:val="20"/>
          <w:szCs w:val="20"/>
          <w:lang w:val="en-US" w:eastAsia="lt-LT"/>
          <w14:ligatures w14:val="none"/>
        </w:rPr>
        <w:t>actually collected</w:t>
      </w:r>
      <w:proofErr w:type="gramEnd"/>
      <w:r w:rsidRPr="00F700D5">
        <w:rPr>
          <w:rFonts w:ascii="Arial" w:eastAsia="Times New Roman" w:hAnsi="Arial" w:cs="Arial"/>
          <w:kern w:val="0"/>
          <w:sz w:val="20"/>
          <w:szCs w:val="20"/>
          <w:lang w:val="en-US" w:eastAsia="lt-LT"/>
          <w14:ligatures w14:val="none"/>
        </w:rPr>
        <w:t xml:space="preserve"> during the relevant reporting period</w:t>
      </w:r>
      <w:r w:rsidR="000341BA" w:rsidRPr="00F700D5">
        <w:rPr>
          <w:rFonts w:ascii="Arial" w:eastAsia="Times New Roman" w:hAnsi="Arial" w:cs="Arial"/>
          <w:kern w:val="0"/>
          <w:sz w:val="20"/>
          <w:szCs w:val="20"/>
          <w:lang w:val="en-US" w:eastAsia="lt-LT"/>
          <w14:ligatures w14:val="none"/>
        </w:rPr>
        <w:t>. </w:t>
      </w:r>
    </w:p>
    <w:p w14:paraId="12C73B96" w14:textId="6B054F27" w:rsidR="000341BA" w:rsidRPr="00F700D5" w:rsidRDefault="00F700D5" w:rsidP="000341BA">
      <w:pPr>
        <w:pStyle w:val="ListParagraph"/>
        <w:numPr>
          <w:ilvl w:val="1"/>
          <w:numId w:val="7"/>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F700D5">
        <w:rPr>
          <w:rFonts w:ascii="Arial" w:eastAsia="Times New Roman" w:hAnsi="Arial" w:cs="Arial"/>
          <w:kern w:val="0"/>
          <w:sz w:val="20"/>
          <w:szCs w:val="20"/>
          <w:lang w:val="en-US" w:eastAsia="lt-LT"/>
          <w14:ligatures w14:val="none"/>
        </w:rPr>
        <w:t xml:space="preserve">The full percentage-based remuneration component shall be paid first. The fixed remuneration component shall then be reduced to the extent necessary to ensure that the total remuneration payable to the EETS Provider does not exceed 6.0% of the </w:t>
      </w:r>
      <w:proofErr w:type="gramStart"/>
      <w:r w:rsidRPr="00F700D5">
        <w:rPr>
          <w:rFonts w:ascii="Arial" w:eastAsia="Times New Roman" w:hAnsi="Arial" w:cs="Arial"/>
          <w:kern w:val="0"/>
          <w:sz w:val="20"/>
          <w:szCs w:val="20"/>
          <w:lang w:val="en-US" w:eastAsia="lt-LT"/>
          <w14:ligatures w14:val="none"/>
        </w:rPr>
        <w:t>amount</w:t>
      </w:r>
      <w:proofErr w:type="gramEnd"/>
      <w:r w:rsidRPr="00F700D5">
        <w:rPr>
          <w:rFonts w:ascii="Arial" w:eastAsia="Times New Roman" w:hAnsi="Arial" w:cs="Arial"/>
          <w:kern w:val="0"/>
          <w:sz w:val="20"/>
          <w:szCs w:val="20"/>
          <w:lang w:val="en-US" w:eastAsia="lt-LT"/>
          <w14:ligatures w14:val="none"/>
        </w:rPr>
        <w:t xml:space="preserve"> of tolls collected during the relevant reporting period</w:t>
      </w:r>
      <w:r w:rsidR="000341BA" w:rsidRPr="00F700D5">
        <w:rPr>
          <w:rFonts w:ascii="Arial" w:eastAsia="Times New Roman" w:hAnsi="Arial" w:cs="Arial"/>
          <w:kern w:val="0"/>
          <w:sz w:val="20"/>
          <w:szCs w:val="20"/>
          <w:lang w:val="en-US" w:eastAsia="lt-LT"/>
          <w14:ligatures w14:val="none"/>
        </w:rPr>
        <w:t>. </w:t>
      </w:r>
    </w:p>
    <w:p w14:paraId="00459734" w14:textId="77777777" w:rsidR="000341BA" w:rsidRPr="00E70214" w:rsidRDefault="000341BA" w:rsidP="000341BA">
      <w:pPr>
        <w:spacing w:after="0" w:line="240" w:lineRule="auto"/>
        <w:jc w:val="both"/>
        <w:textAlignment w:val="baseline"/>
        <w:rPr>
          <w:rFonts w:ascii="Arial" w:eastAsia="Times New Roman" w:hAnsi="Arial" w:cs="Arial"/>
          <w:kern w:val="0"/>
          <w:sz w:val="20"/>
          <w:szCs w:val="20"/>
          <w:lang w:val="en-US" w:eastAsia="lt-LT"/>
          <w14:ligatures w14:val="none"/>
        </w:rPr>
      </w:pPr>
    </w:p>
    <w:p w14:paraId="08C651BA" w14:textId="3BDCF9CC" w:rsidR="000341BA" w:rsidRPr="00E70214" w:rsidRDefault="006249E2" w:rsidP="000341BA">
      <w:pPr>
        <w:numPr>
          <w:ilvl w:val="0"/>
          <w:numId w:val="2"/>
        </w:numPr>
        <w:spacing w:after="0" w:line="240" w:lineRule="auto"/>
        <w:ind w:firstLine="0"/>
        <w:jc w:val="center"/>
        <w:textAlignment w:val="baseline"/>
        <w:rPr>
          <w:rFonts w:ascii="Arial" w:eastAsia="Times New Roman" w:hAnsi="Arial" w:cs="Arial"/>
          <w:b/>
          <w:bCs/>
          <w:kern w:val="0"/>
          <w:sz w:val="20"/>
          <w:szCs w:val="20"/>
          <w:lang w:val="en-US" w:eastAsia="lt-LT"/>
          <w14:ligatures w14:val="none"/>
        </w:rPr>
      </w:pPr>
      <w:r w:rsidRPr="00E70214">
        <w:rPr>
          <w:rFonts w:ascii="Arial" w:eastAsia="Times New Roman" w:hAnsi="Arial" w:cs="Arial"/>
          <w:b/>
          <w:bCs/>
          <w:kern w:val="0"/>
          <w:sz w:val="20"/>
          <w:szCs w:val="20"/>
          <w:lang w:val="en-US" w:eastAsia="lt-LT"/>
          <w14:ligatures w14:val="none"/>
        </w:rPr>
        <w:t>Adjustment of the Remuneration Amount</w:t>
      </w:r>
    </w:p>
    <w:p w14:paraId="3B3A0A03" w14:textId="77777777" w:rsidR="000341BA" w:rsidRPr="00E70214" w:rsidRDefault="000341BA" w:rsidP="000341BA">
      <w:pPr>
        <w:spacing w:after="0" w:line="240" w:lineRule="auto"/>
        <w:textAlignment w:val="baseline"/>
        <w:rPr>
          <w:rFonts w:ascii="Arial" w:eastAsia="Times New Roman" w:hAnsi="Arial" w:cs="Arial"/>
          <w:kern w:val="0"/>
          <w:sz w:val="20"/>
          <w:szCs w:val="20"/>
          <w:lang w:val="en-US" w:eastAsia="lt-LT"/>
          <w14:ligatures w14:val="none"/>
        </w:rPr>
      </w:pPr>
    </w:p>
    <w:p w14:paraId="3C9EFB35" w14:textId="4D9680C1" w:rsidR="000341BA" w:rsidRPr="00465F67" w:rsidRDefault="000C4839" w:rsidP="000341BA">
      <w:pPr>
        <w:pStyle w:val="ListParagraph"/>
        <w:numPr>
          <w:ilvl w:val="1"/>
          <w:numId w:val="8"/>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465F67">
        <w:rPr>
          <w:rFonts w:ascii="Arial" w:eastAsia="Times New Roman" w:hAnsi="Arial" w:cs="Arial"/>
          <w:kern w:val="0"/>
          <w:sz w:val="20"/>
          <w:szCs w:val="20"/>
          <w:lang w:val="en-US" w:eastAsia="lt-LT"/>
          <w14:ligatures w14:val="none"/>
        </w:rPr>
        <w:t>Following the initial determination of the remuneration payable to EETS Providers, such remuneration may not be amended before the year 2030</w:t>
      </w:r>
      <w:r w:rsidR="000341BA" w:rsidRPr="00465F67">
        <w:rPr>
          <w:rFonts w:ascii="Arial" w:eastAsia="Times New Roman" w:hAnsi="Arial" w:cs="Arial"/>
          <w:kern w:val="0"/>
          <w:sz w:val="20"/>
          <w:szCs w:val="20"/>
          <w:lang w:val="en-US" w:eastAsia="lt-LT"/>
          <w14:ligatures w14:val="none"/>
        </w:rPr>
        <w:t>. </w:t>
      </w:r>
    </w:p>
    <w:p w14:paraId="3A1800E9" w14:textId="3D6333DA" w:rsidR="000341BA" w:rsidRPr="00465F67" w:rsidRDefault="000C4839" w:rsidP="000341BA">
      <w:pPr>
        <w:pStyle w:val="ListParagraph"/>
        <w:numPr>
          <w:ilvl w:val="1"/>
          <w:numId w:val="8"/>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proofErr w:type="gramStart"/>
      <w:r w:rsidRPr="00465F67">
        <w:rPr>
          <w:rFonts w:ascii="Arial" w:eastAsia="Times New Roman" w:hAnsi="Arial" w:cs="Arial"/>
          <w:kern w:val="0"/>
          <w:sz w:val="20"/>
          <w:szCs w:val="20"/>
          <w:lang w:val="en-US" w:eastAsia="lt-LT"/>
          <w14:ligatures w14:val="none"/>
        </w:rPr>
        <w:t>he</w:t>
      </w:r>
      <w:proofErr w:type="gramEnd"/>
      <w:r w:rsidRPr="00465F67">
        <w:rPr>
          <w:rFonts w:ascii="Arial" w:eastAsia="Times New Roman" w:hAnsi="Arial" w:cs="Arial"/>
          <w:kern w:val="0"/>
          <w:sz w:val="20"/>
          <w:szCs w:val="20"/>
          <w:lang w:val="en-US" w:eastAsia="lt-LT"/>
          <w14:ligatures w14:val="none"/>
        </w:rPr>
        <w:t xml:space="preserve"> amount of the EETS remuneration may be reviewed no more than once per calendar year where there has been a material change in the circumstances affecting the calculation of the remuneration under the Agreement, including, but not limited to</w:t>
      </w:r>
      <w:r w:rsidR="000341BA" w:rsidRPr="00465F67">
        <w:rPr>
          <w:rFonts w:ascii="Arial" w:eastAsia="Times New Roman" w:hAnsi="Arial" w:cs="Arial"/>
          <w:kern w:val="0"/>
          <w:sz w:val="20"/>
          <w:szCs w:val="20"/>
          <w:lang w:val="en-US" w:eastAsia="lt-LT"/>
          <w14:ligatures w14:val="none"/>
        </w:rPr>
        <w:t>: </w:t>
      </w:r>
    </w:p>
    <w:p w14:paraId="45E7D09F" w14:textId="32B0BE18" w:rsidR="000341BA" w:rsidRPr="00465F67" w:rsidRDefault="000C4839" w:rsidP="000341BA">
      <w:pPr>
        <w:pStyle w:val="ListParagraph"/>
        <w:numPr>
          <w:ilvl w:val="2"/>
          <w:numId w:val="8"/>
        </w:numPr>
        <w:spacing w:after="0" w:line="240" w:lineRule="auto"/>
        <w:ind w:left="1560" w:hanging="709"/>
        <w:jc w:val="both"/>
        <w:textAlignment w:val="baseline"/>
        <w:rPr>
          <w:rFonts w:ascii="Arial" w:eastAsia="Times New Roman" w:hAnsi="Arial" w:cs="Arial"/>
          <w:kern w:val="0"/>
          <w:sz w:val="20"/>
          <w:szCs w:val="20"/>
          <w:lang w:val="en-US" w:eastAsia="lt-LT"/>
          <w14:ligatures w14:val="none"/>
        </w:rPr>
      </w:pPr>
      <w:r w:rsidRPr="00465F67">
        <w:rPr>
          <w:rFonts w:ascii="Arial" w:eastAsia="Times New Roman" w:hAnsi="Arial" w:cs="Arial"/>
          <w:kern w:val="0"/>
          <w:sz w:val="20"/>
          <w:szCs w:val="20"/>
          <w:lang w:val="en-US" w:eastAsia="lt-LT"/>
          <w14:ligatures w14:val="none"/>
        </w:rPr>
        <w:t>changes in applicable legislation;</w:t>
      </w:r>
      <w:r w:rsidR="000341BA" w:rsidRPr="00465F67">
        <w:rPr>
          <w:rFonts w:ascii="Arial" w:eastAsia="Times New Roman" w:hAnsi="Arial" w:cs="Arial"/>
          <w:kern w:val="0"/>
          <w:sz w:val="20"/>
          <w:szCs w:val="20"/>
          <w:lang w:val="en-US" w:eastAsia="lt-LT"/>
          <w14:ligatures w14:val="none"/>
        </w:rPr>
        <w:t>  </w:t>
      </w:r>
    </w:p>
    <w:p w14:paraId="693B45C4" w14:textId="61591724" w:rsidR="000341BA" w:rsidRPr="00465F67" w:rsidRDefault="000C4839" w:rsidP="000341BA">
      <w:pPr>
        <w:pStyle w:val="ListParagraph"/>
        <w:numPr>
          <w:ilvl w:val="2"/>
          <w:numId w:val="8"/>
        </w:numPr>
        <w:spacing w:after="0" w:line="240" w:lineRule="auto"/>
        <w:ind w:left="1560" w:hanging="709"/>
        <w:jc w:val="both"/>
        <w:textAlignment w:val="baseline"/>
        <w:rPr>
          <w:rFonts w:ascii="Arial" w:eastAsia="Times New Roman" w:hAnsi="Arial" w:cs="Arial"/>
          <w:kern w:val="0"/>
          <w:sz w:val="20"/>
          <w:szCs w:val="20"/>
          <w:lang w:val="en-US" w:eastAsia="lt-LT"/>
          <w14:ligatures w14:val="none"/>
        </w:rPr>
      </w:pPr>
      <w:r w:rsidRPr="00465F67">
        <w:rPr>
          <w:rFonts w:ascii="Arial" w:eastAsia="Times New Roman" w:hAnsi="Arial" w:cs="Arial"/>
          <w:kern w:val="0"/>
          <w:sz w:val="20"/>
          <w:szCs w:val="20"/>
          <w:lang w:val="en-US" w:eastAsia="lt-LT"/>
          <w14:ligatures w14:val="none"/>
        </w:rPr>
        <w:t>technological changes</w:t>
      </w:r>
      <w:r w:rsidR="000341BA" w:rsidRPr="00465F67">
        <w:rPr>
          <w:rFonts w:ascii="Arial" w:eastAsia="Times New Roman" w:hAnsi="Arial" w:cs="Arial"/>
          <w:kern w:val="0"/>
          <w:sz w:val="20"/>
          <w:szCs w:val="20"/>
          <w:lang w:val="en-US" w:eastAsia="lt-LT"/>
          <w14:ligatures w14:val="none"/>
        </w:rPr>
        <w:t>;  </w:t>
      </w:r>
    </w:p>
    <w:p w14:paraId="21F06086" w14:textId="5931AB90" w:rsidR="000341BA" w:rsidRPr="00465F67" w:rsidRDefault="000C4839" w:rsidP="000341BA">
      <w:pPr>
        <w:pStyle w:val="ListParagraph"/>
        <w:numPr>
          <w:ilvl w:val="2"/>
          <w:numId w:val="8"/>
        </w:numPr>
        <w:spacing w:after="0" w:line="240" w:lineRule="auto"/>
        <w:ind w:left="1560" w:hanging="709"/>
        <w:jc w:val="both"/>
        <w:textAlignment w:val="baseline"/>
        <w:rPr>
          <w:rFonts w:ascii="Arial" w:eastAsia="Times New Roman" w:hAnsi="Arial" w:cs="Arial"/>
          <w:kern w:val="0"/>
          <w:sz w:val="20"/>
          <w:szCs w:val="20"/>
          <w:lang w:val="en-US" w:eastAsia="lt-LT"/>
          <w14:ligatures w14:val="none"/>
        </w:rPr>
      </w:pPr>
      <w:r w:rsidRPr="00465F67">
        <w:rPr>
          <w:rFonts w:ascii="Arial" w:eastAsia="Times New Roman" w:hAnsi="Arial" w:cs="Arial"/>
          <w:kern w:val="0"/>
          <w:sz w:val="20"/>
          <w:szCs w:val="20"/>
          <w:lang w:val="en-US" w:eastAsia="lt-LT"/>
          <w14:ligatures w14:val="none"/>
        </w:rPr>
        <w:t>significant changes in the operation of the road tolling system</w:t>
      </w:r>
      <w:r w:rsidR="000341BA" w:rsidRPr="00465F67">
        <w:rPr>
          <w:rFonts w:ascii="Arial" w:eastAsia="Times New Roman" w:hAnsi="Arial" w:cs="Arial"/>
          <w:kern w:val="0"/>
          <w:sz w:val="20"/>
          <w:szCs w:val="20"/>
          <w:lang w:val="en-US" w:eastAsia="lt-LT"/>
          <w14:ligatures w14:val="none"/>
        </w:rPr>
        <w:t>;  </w:t>
      </w:r>
    </w:p>
    <w:p w14:paraId="62C471D1" w14:textId="63166E62" w:rsidR="008E059E" w:rsidRPr="00465F67" w:rsidRDefault="000C4839" w:rsidP="008E059E">
      <w:pPr>
        <w:pStyle w:val="ListParagraph"/>
        <w:numPr>
          <w:ilvl w:val="2"/>
          <w:numId w:val="8"/>
        </w:numPr>
        <w:spacing w:after="0" w:line="240" w:lineRule="auto"/>
        <w:ind w:left="1560" w:hanging="709"/>
        <w:jc w:val="both"/>
        <w:textAlignment w:val="baseline"/>
        <w:rPr>
          <w:rFonts w:ascii="Arial" w:eastAsia="Times New Roman" w:hAnsi="Arial" w:cs="Arial"/>
          <w:kern w:val="0"/>
          <w:sz w:val="20"/>
          <w:szCs w:val="20"/>
          <w:lang w:val="en-US" w:eastAsia="lt-LT"/>
          <w14:ligatures w14:val="none"/>
        </w:rPr>
      </w:pPr>
      <w:r w:rsidRPr="00465F67">
        <w:rPr>
          <w:rFonts w:ascii="Arial" w:eastAsia="Times New Roman" w:hAnsi="Arial" w:cs="Arial"/>
          <w:kern w:val="0"/>
          <w:sz w:val="20"/>
          <w:szCs w:val="20"/>
          <w:lang w:val="en-US" w:eastAsia="lt-LT"/>
          <w14:ligatures w14:val="none"/>
        </w:rPr>
        <w:t>material changes in the functions assumed by the EETS Provider or the Toll Charger</w:t>
      </w:r>
      <w:r w:rsidR="000341BA" w:rsidRPr="00465F67">
        <w:rPr>
          <w:rFonts w:ascii="Arial" w:eastAsia="Times New Roman" w:hAnsi="Arial" w:cs="Arial"/>
          <w:kern w:val="0"/>
          <w:sz w:val="20"/>
          <w:szCs w:val="20"/>
          <w:lang w:val="en-US" w:eastAsia="lt-LT"/>
          <w14:ligatures w14:val="none"/>
        </w:rPr>
        <w:t>.  </w:t>
      </w:r>
    </w:p>
    <w:p w14:paraId="78C5464C" w14:textId="676714BC" w:rsidR="004A510C" w:rsidRPr="00465F67" w:rsidRDefault="00465F67" w:rsidP="008E059E">
      <w:pPr>
        <w:pStyle w:val="ListParagraph"/>
        <w:numPr>
          <w:ilvl w:val="1"/>
          <w:numId w:val="8"/>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465F67">
        <w:rPr>
          <w:rFonts w:ascii="Arial" w:hAnsi="Arial" w:cs="Arial"/>
          <w:sz w:val="20"/>
          <w:szCs w:val="20"/>
          <w:lang w:val="en-US"/>
        </w:rPr>
        <w:t>The Parties, by mutual agreement, may establish a different frequency for the review of the remuneration where circumstances arise that could not reasonably have been foreseen at the time the remuneration was determined</w:t>
      </w:r>
      <w:r w:rsidR="004A510C" w:rsidRPr="00465F67" w:rsidDel="00507770">
        <w:rPr>
          <w:rFonts w:ascii="Arial" w:hAnsi="Arial" w:cs="Arial"/>
          <w:sz w:val="20"/>
          <w:szCs w:val="20"/>
          <w:lang w:val="en-US"/>
        </w:rPr>
        <w:t>.</w:t>
      </w:r>
    </w:p>
    <w:p w14:paraId="11E1E5B6" w14:textId="555E4E9D" w:rsidR="000341BA" w:rsidRPr="00465F67" w:rsidRDefault="00465F67" w:rsidP="000341BA">
      <w:pPr>
        <w:pStyle w:val="ListParagraph"/>
        <w:numPr>
          <w:ilvl w:val="1"/>
          <w:numId w:val="8"/>
        </w:numPr>
        <w:spacing w:after="0" w:line="240" w:lineRule="auto"/>
        <w:ind w:left="851" w:hanging="851"/>
        <w:jc w:val="both"/>
        <w:textAlignment w:val="baseline"/>
        <w:rPr>
          <w:rFonts w:ascii="Arial" w:eastAsia="Times New Roman" w:hAnsi="Arial" w:cs="Arial"/>
          <w:kern w:val="0"/>
          <w:sz w:val="20"/>
          <w:szCs w:val="20"/>
          <w:lang w:val="en-US" w:eastAsia="lt-LT"/>
          <w14:ligatures w14:val="none"/>
        </w:rPr>
      </w:pPr>
      <w:r w:rsidRPr="00465F67">
        <w:rPr>
          <w:rFonts w:ascii="Arial" w:eastAsia="Times New Roman" w:hAnsi="Arial" w:cs="Arial"/>
          <w:kern w:val="0"/>
          <w:sz w:val="20"/>
          <w:szCs w:val="20"/>
          <w:lang w:val="en-US" w:eastAsia="lt-LT"/>
          <w14:ligatures w14:val="none"/>
        </w:rPr>
        <w:t>The EETS Provider shall be notified of any amendment to the remuneration no later than three (3) months prior to the effective date of such amendment</w:t>
      </w:r>
      <w:r w:rsidR="000341BA" w:rsidRPr="00465F67">
        <w:rPr>
          <w:rFonts w:ascii="Arial" w:eastAsia="Times New Roman" w:hAnsi="Arial" w:cs="Arial"/>
          <w:kern w:val="0"/>
          <w:sz w:val="20"/>
          <w:szCs w:val="20"/>
          <w:lang w:val="en-US" w:eastAsia="lt-LT"/>
          <w14:ligatures w14:val="none"/>
        </w:rPr>
        <w:t>. </w:t>
      </w:r>
    </w:p>
    <w:p w14:paraId="223642A6" w14:textId="77777777" w:rsidR="000341BA" w:rsidRPr="00E70214" w:rsidRDefault="000341BA" w:rsidP="000341BA">
      <w:pPr>
        <w:spacing w:after="0" w:line="240" w:lineRule="auto"/>
        <w:ind w:firstLine="360"/>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16A79161" w14:textId="77777777" w:rsidR="000341BA" w:rsidRPr="00E70214" w:rsidRDefault="000341BA" w:rsidP="000341BA">
      <w:pPr>
        <w:spacing w:after="0" w:line="240" w:lineRule="auto"/>
        <w:jc w:val="both"/>
        <w:textAlignment w:val="baseline"/>
        <w:rPr>
          <w:rFonts w:ascii="Arial" w:eastAsia="Times New Roman" w:hAnsi="Arial" w:cs="Arial"/>
          <w:kern w:val="0"/>
          <w:sz w:val="20"/>
          <w:szCs w:val="20"/>
          <w:lang w:val="en-US" w:eastAsia="lt-LT"/>
          <w14:ligatures w14:val="none"/>
        </w:rPr>
      </w:pPr>
      <w:r w:rsidRPr="00E70214">
        <w:rPr>
          <w:rFonts w:ascii="Arial" w:eastAsia="Times New Roman" w:hAnsi="Arial" w:cs="Arial"/>
          <w:kern w:val="0"/>
          <w:sz w:val="20"/>
          <w:szCs w:val="20"/>
          <w:lang w:val="en-US" w:eastAsia="lt-LT"/>
          <w14:ligatures w14:val="none"/>
        </w:rPr>
        <w:t> </w:t>
      </w:r>
    </w:p>
    <w:p w14:paraId="3580FD1F" w14:textId="6A0027D1" w:rsidR="000341BA" w:rsidRPr="00E70214" w:rsidRDefault="006A240B" w:rsidP="00D2690D">
      <w:pPr>
        <w:tabs>
          <w:tab w:val="left" w:pos="2835"/>
        </w:tabs>
        <w:spacing w:after="0" w:line="240" w:lineRule="auto"/>
        <w:rPr>
          <w:rFonts w:ascii="Arial" w:hAnsi="Arial" w:cs="Arial"/>
          <w:sz w:val="20"/>
          <w:szCs w:val="20"/>
          <w:lang w:val="en-US"/>
        </w:rPr>
      </w:pPr>
      <w:r w:rsidRPr="00E70214">
        <w:rPr>
          <w:rFonts w:ascii="Arial" w:hAnsi="Arial" w:cs="Arial"/>
          <w:sz w:val="20"/>
          <w:szCs w:val="20"/>
          <w:lang w:val="en-US"/>
        </w:rPr>
        <w:tab/>
      </w:r>
    </w:p>
    <w:p w14:paraId="307B61A8" w14:textId="77777777" w:rsidR="000341BA" w:rsidRPr="00E70214" w:rsidRDefault="000341BA" w:rsidP="000341BA">
      <w:pPr>
        <w:rPr>
          <w:rFonts w:ascii="Arial" w:hAnsi="Arial" w:cs="Arial"/>
          <w:sz w:val="20"/>
          <w:szCs w:val="20"/>
          <w:lang w:val="en-US"/>
        </w:rPr>
      </w:pPr>
    </w:p>
    <w:p w14:paraId="085E4A3E" w14:textId="77777777" w:rsidR="000341BA" w:rsidRPr="00E70214" w:rsidRDefault="000341BA" w:rsidP="000341BA">
      <w:pPr>
        <w:spacing w:after="0" w:line="240" w:lineRule="auto"/>
        <w:jc w:val="center"/>
        <w:rPr>
          <w:rFonts w:ascii="Arial" w:hAnsi="Arial" w:cs="Arial"/>
          <w:sz w:val="20"/>
          <w:szCs w:val="20"/>
          <w:lang w:val="en-US"/>
        </w:rPr>
      </w:pPr>
    </w:p>
    <w:p w14:paraId="2452E8B1" w14:textId="77777777" w:rsidR="000341BA" w:rsidRPr="00E70214" w:rsidRDefault="000341BA">
      <w:pPr>
        <w:rPr>
          <w:rFonts w:ascii="Arial" w:hAnsi="Arial" w:cs="Arial"/>
          <w:sz w:val="20"/>
          <w:szCs w:val="20"/>
          <w:lang w:val="en-US"/>
        </w:rPr>
      </w:pPr>
    </w:p>
    <w:sectPr w:rsidR="000341BA" w:rsidRPr="00E70214" w:rsidSect="000341BA">
      <w:headerReference w:type="even" r:id="rId11"/>
      <w:headerReference w:type="default" r:id="rId12"/>
      <w:footerReference w:type="even" r:id="rId13"/>
      <w:footerReference w:type="default" r:id="rId14"/>
      <w:headerReference w:type="first" r:id="rId15"/>
      <w:footerReference w:type="first" r:id="rId16"/>
      <w:pgSz w:w="11906" w:h="16838"/>
      <w:pgMar w:top="1701"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7D4A" w14:textId="77777777" w:rsidR="00B97CEA" w:rsidRDefault="00B97CEA">
      <w:pPr>
        <w:spacing w:after="0" w:line="240" w:lineRule="auto"/>
      </w:pPr>
      <w:r>
        <w:separator/>
      </w:r>
    </w:p>
  </w:endnote>
  <w:endnote w:type="continuationSeparator" w:id="0">
    <w:p w14:paraId="1437E924" w14:textId="77777777" w:rsidR="00B97CEA" w:rsidRDefault="00B9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C04D" w14:textId="77777777" w:rsidR="003F142C" w:rsidRDefault="003F1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00FA8D76" w14:paraId="10FFE9BB" w14:textId="77777777" w:rsidTr="00FA8D76">
      <w:trPr>
        <w:trHeight w:val="300"/>
      </w:trPr>
      <w:tc>
        <w:tcPr>
          <w:tcW w:w="3165" w:type="dxa"/>
        </w:tcPr>
        <w:p w14:paraId="5F90E156" w14:textId="10231C7B" w:rsidR="00FA8D76" w:rsidRDefault="00FA8D76" w:rsidP="00FA8D76">
          <w:pPr>
            <w:pStyle w:val="Header"/>
            <w:ind w:left="-115"/>
          </w:pPr>
        </w:p>
      </w:tc>
      <w:tc>
        <w:tcPr>
          <w:tcW w:w="3165" w:type="dxa"/>
        </w:tcPr>
        <w:p w14:paraId="4F151603" w14:textId="5290303E" w:rsidR="00FA8D76" w:rsidRDefault="00FA8D76" w:rsidP="00FA8D76">
          <w:pPr>
            <w:pStyle w:val="Header"/>
            <w:jc w:val="center"/>
          </w:pPr>
        </w:p>
      </w:tc>
      <w:tc>
        <w:tcPr>
          <w:tcW w:w="3165" w:type="dxa"/>
        </w:tcPr>
        <w:p w14:paraId="67B65D52" w14:textId="53B2B945" w:rsidR="00FA8D76" w:rsidRDefault="00FA8D76" w:rsidP="00FA8D76">
          <w:pPr>
            <w:pStyle w:val="Header"/>
            <w:ind w:right="-115"/>
            <w:jc w:val="right"/>
          </w:pPr>
        </w:p>
      </w:tc>
    </w:tr>
  </w:tbl>
  <w:p w14:paraId="33ECB0B3" w14:textId="772341E0" w:rsidR="00FA8D76" w:rsidRDefault="00FA8D76" w:rsidP="00FA8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00FA8D76" w14:paraId="6972D350" w14:textId="77777777" w:rsidTr="00FA8D76">
      <w:trPr>
        <w:trHeight w:val="300"/>
      </w:trPr>
      <w:tc>
        <w:tcPr>
          <w:tcW w:w="3165" w:type="dxa"/>
        </w:tcPr>
        <w:p w14:paraId="55E3AA3E" w14:textId="1352AC4A" w:rsidR="00FA8D76" w:rsidRDefault="00FA8D76" w:rsidP="00FA8D76">
          <w:pPr>
            <w:pStyle w:val="Header"/>
            <w:ind w:left="-115"/>
          </w:pPr>
        </w:p>
      </w:tc>
      <w:tc>
        <w:tcPr>
          <w:tcW w:w="3165" w:type="dxa"/>
        </w:tcPr>
        <w:p w14:paraId="517627E2" w14:textId="45D0913D" w:rsidR="00FA8D76" w:rsidRDefault="00FA8D76" w:rsidP="00FA8D76">
          <w:pPr>
            <w:pStyle w:val="Header"/>
            <w:jc w:val="center"/>
          </w:pPr>
        </w:p>
      </w:tc>
      <w:tc>
        <w:tcPr>
          <w:tcW w:w="3165" w:type="dxa"/>
        </w:tcPr>
        <w:p w14:paraId="6108BB8B" w14:textId="4A380483" w:rsidR="00FA8D76" w:rsidRDefault="00FA8D76" w:rsidP="00FA8D76">
          <w:pPr>
            <w:pStyle w:val="Header"/>
            <w:ind w:right="-115"/>
            <w:jc w:val="right"/>
          </w:pPr>
        </w:p>
      </w:tc>
    </w:tr>
  </w:tbl>
  <w:p w14:paraId="24EF024E" w14:textId="0C138CD3" w:rsidR="00FA8D76" w:rsidRDefault="00FA8D76" w:rsidP="00FA8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E2B7" w14:textId="77777777" w:rsidR="00B97CEA" w:rsidRDefault="00B97CEA">
      <w:pPr>
        <w:spacing w:after="0" w:line="240" w:lineRule="auto"/>
      </w:pPr>
      <w:r>
        <w:separator/>
      </w:r>
    </w:p>
  </w:footnote>
  <w:footnote w:type="continuationSeparator" w:id="0">
    <w:p w14:paraId="5F5ABA5B" w14:textId="77777777" w:rsidR="00B97CEA" w:rsidRDefault="00B9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685D" w14:textId="77777777" w:rsidR="003F142C" w:rsidRDefault="003F1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134"/>
      <w:docPartObj>
        <w:docPartGallery w:val="Page Numbers (Top of Page)"/>
        <w:docPartUnique/>
      </w:docPartObj>
    </w:sdtPr>
    <w:sdtEndPr>
      <w:rPr>
        <w:sz w:val="20"/>
        <w:szCs w:val="20"/>
      </w:rPr>
    </w:sdtEndPr>
    <w:sdtContent>
      <w:p w14:paraId="01839084" w14:textId="77777777" w:rsidR="000341BA" w:rsidRPr="00430C8B" w:rsidRDefault="000341BA">
        <w:pPr>
          <w:pStyle w:val="Header"/>
          <w:jc w:val="center"/>
          <w:rPr>
            <w:sz w:val="20"/>
            <w:szCs w:val="20"/>
          </w:rPr>
        </w:pPr>
        <w:r w:rsidRPr="00430C8B">
          <w:rPr>
            <w:sz w:val="20"/>
            <w:szCs w:val="20"/>
          </w:rPr>
          <w:fldChar w:fldCharType="begin"/>
        </w:r>
        <w:r w:rsidRPr="00430C8B">
          <w:rPr>
            <w:sz w:val="20"/>
            <w:szCs w:val="20"/>
          </w:rPr>
          <w:instrText>PAGE   \* MERGEFORMAT</w:instrText>
        </w:r>
        <w:r w:rsidRPr="00430C8B">
          <w:rPr>
            <w:sz w:val="20"/>
            <w:szCs w:val="20"/>
          </w:rPr>
          <w:fldChar w:fldCharType="separate"/>
        </w:r>
        <w:r w:rsidRPr="00430C8B">
          <w:rPr>
            <w:sz w:val="20"/>
            <w:szCs w:val="20"/>
          </w:rPr>
          <w:t>2</w:t>
        </w:r>
        <w:r w:rsidRPr="00430C8B">
          <w:rPr>
            <w:sz w:val="20"/>
            <w:szCs w:val="20"/>
          </w:rPr>
          <w:fldChar w:fldCharType="end"/>
        </w:r>
      </w:p>
    </w:sdtContent>
  </w:sdt>
  <w:p w14:paraId="2F4BC25D" w14:textId="77777777" w:rsidR="000341BA" w:rsidRDefault="00034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656" w14:textId="1FD34C87" w:rsidR="00FA8D76" w:rsidRPr="003F142C" w:rsidRDefault="7D47AB9F" w:rsidP="06ED02BF">
    <w:pPr>
      <w:tabs>
        <w:tab w:val="center" w:pos="4986"/>
        <w:tab w:val="right" w:pos="9972"/>
      </w:tabs>
      <w:spacing w:after="0" w:line="240" w:lineRule="auto"/>
      <w:jc w:val="right"/>
      <w:rPr>
        <w:rFonts w:asciiTheme="majorHAnsi" w:hAnsiTheme="majorHAnsi" w:cs="Arial"/>
        <w:sz w:val="22"/>
        <w:szCs w:val="22"/>
      </w:rPr>
    </w:pPr>
    <w:r w:rsidRPr="003F142C">
      <w:rPr>
        <w:rFonts w:asciiTheme="majorHAnsi" w:hAnsiTheme="majorHAnsi"/>
        <w:noProof/>
        <w:sz w:val="22"/>
        <w:szCs w:val="22"/>
      </w:rPr>
      <w:drawing>
        <wp:anchor distT="0" distB="0" distL="114300" distR="114300" simplePos="0" relativeHeight="251658240" behindDoc="0" locked="0" layoutInCell="1" allowOverlap="1" wp14:anchorId="729BAAD2" wp14:editId="478FCCEF">
          <wp:simplePos x="0" y="0"/>
          <wp:positionH relativeFrom="column">
            <wp:align>left</wp:align>
          </wp:positionH>
          <wp:positionV relativeFrom="paragraph">
            <wp:posOffset>0</wp:posOffset>
          </wp:positionV>
          <wp:extent cx="1609725" cy="200025"/>
          <wp:effectExtent l="0" t="0" r="0" b="0"/>
          <wp:wrapSquare wrapText="bothSides"/>
          <wp:docPr id="1436415747" name="drawing" title="Via Lietuva Logo - Skaidrus Juo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15747" name="Picture 1436415747"/>
                  <pic:cNvPicPr/>
                </pic:nvPicPr>
                <pic:blipFill>
                  <a:blip r:embed="rId1">
                    <a:extLst>
                      <a:ext uri="{28A0092B-C50C-407E-A947-70E740481C1C}">
                        <a14:useLocalDpi xmlns:a14="http://schemas.microsoft.com/office/drawing/2010/main"/>
                      </a:ext>
                    </a:extLst>
                  </a:blip>
                  <a:stretch>
                    <a:fillRect/>
                  </a:stretch>
                </pic:blipFill>
                <pic:spPr>
                  <a:xfrm>
                    <a:off x="0" y="0"/>
                    <a:ext cx="1609725" cy="200025"/>
                  </a:xfrm>
                  <a:prstGeom prst="rect">
                    <a:avLst/>
                  </a:prstGeom>
                </pic:spPr>
              </pic:pic>
            </a:graphicData>
          </a:graphic>
          <wp14:sizeRelH relativeFrom="page">
            <wp14:pctWidth>0</wp14:pctWidth>
          </wp14:sizeRelH>
          <wp14:sizeRelV relativeFrom="page">
            <wp14:pctHeight>0</wp14:pctHeight>
          </wp14:sizeRelV>
        </wp:anchor>
      </w:drawing>
    </w:r>
    <w:r w:rsidR="001C41BA" w:rsidRPr="003F142C">
      <w:rPr>
        <w:rFonts w:asciiTheme="majorHAnsi" w:hAnsiTheme="majorHAnsi" w:cs="Arial"/>
        <w:sz w:val="22"/>
        <w:szCs w:val="22"/>
      </w:rPr>
      <w:t xml:space="preserve">EETS </w:t>
    </w:r>
    <w:proofErr w:type="spellStart"/>
    <w:r w:rsidR="001C41BA" w:rsidRPr="003F142C">
      <w:rPr>
        <w:rFonts w:asciiTheme="majorHAnsi" w:hAnsiTheme="majorHAnsi" w:cs="Arial"/>
        <w:sz w:val="22"/>
        <w:szCs w:val="22"/>
      </w:rPr>
      <w:t>Domain</w:t>
    </w:r>
    <w:proofErr w:type="spellEnd"/>
    <w:r w:rsidR="001C41BA" w:rsidRPr="003F142C">
      <w:rPr>
        <w:rFonts w:asciiTheme="majorHAnsi" w:hAnsiTheme="majorHAnsi" w:cs="Arial"/>
        <w:sz w:val="22"/>
        <w:szCs w:val="22"/>
      </w:rPr>
      <w:t xml:space="preserve"> </w:t>
    </w:r>
    <w:proofErr w:type="spellStart"/>
    <w:r w:rsidR="001C41BA" w:rsidRPr="003F142C">
      <w:rPr>
        <w:rFonts w:asciiTheme="majorHAnsi" w:hAnsiTheme="majorHAnsi" w:cs="Arial"/>
        <w:sz w:val="22"/>
        <w:szCs w:val="22"/>
      </w:rPr>
      <w:t>Statement</w:t>
    </w:r>
    <w:proofErr w:type="spellEnd"/>
    <w:r w:rsidR="001C41BA" w:rsidRPr="003F142C">
      <w:rPr>
        <w:rFonts w:asciiTheme="majorHAnsi" w:hAnsiTheme="majorHAnsi" w:cs="Arial"/>
        <w:sz w:val="22"/>
        <w:szCs w:val="22"/>
      </w:rPr>
      <w:t xml:space="preserve"> </w:t>
    </w:r>
    <w:proofErr w:type="spellStart"/>
    <w:r w:rsidR="001C41BA" w:rsidRPr="003F142C">
      <w:rPr>
        <w:rFonts w:asciiTheme="majorHAnsi" w:hAnsiTheme="majorHAnsi" w:cs="Arial"/>
        <w:sz w:val="22"/>
        <w:szCs w:val="22"/>
      </w:rPr>
      <w:t>of</w:t>
    </w:r>
    <w:proofErr w:type="spellEnd"/>
    <w:r w:rsidR="001C41BA" w:rsidRPr="003F142C">
      <w:rPr>
        <w:rFonts w:asciiTheme="majorHAnsi" w:hAnsiTheme="majorHAnsi" w:cs="Arial"/>
        <w:sz w:val="22"/>
        <w:szCs w:val="22"/>
      </w:rPr>
      <w:t xml:space="preserve"> </w:t>
    </w:r>
    <w:proofErr w:type="spellStart"/>
    <w:r w:rsidR="001C41BA" w:rsidRPr="003F142C">
      <w:rPr>
        <w:rFonts w:asciiTheme="majorHAnsi" w:hAnsiTheme="majorHAnsi" w:cs="Arial"/>
        <w:sz w:val="22"/>
        <w:szCs w:val="22"/>
      </w:rPr>
      <w:t>the</w:t>
    </w:r>
    <w:proofErr w:type="spellEnd"/>
    <w:r w:rsidR="001C41BA" w:rsidRPr="003F142C">
      <w:rPr>
        <w:rFonts w:asciiTheme="majorHAnsi" w:hAnsiTheme="majorHAnsi" w:cs="Arial"/>
        <w:sz w:val="22"/>
        <w:szCs w:val="22"/>
      </w:rPr>
      <w:t xml:space="preserve"> </w:t>
    </w:r>
    <w:proofErr w:type="spellStart"/>
    <w:r w:rsidR="001C41BA" w:rsidRPr="003F142C">
      <w:rPr>
        <w:rFonts w:asciiTheme="majorHAnsi" w:hAnsiTheme="majorHAnsi" w:cs="Arial"/>
        <w:sz w:val="22"/>
        <w:szCs w:val="22"/>
      </w:rPr>
      <w:t>Republic</w:t>
    </w:r>
    <w:proofErr w:type="spellEnd"/>
    <w:r w:rsidR="001C41BA" w:rsidRPr="003F142C">
      <w:rPr>
        <w:rFonts w:asciiTheme="majorHAnsi" w:hAnsiTheme="majorHAnsi" w:cs="Arial"/>
        <w:sz w:val="22"/>
        <w:szCs w:val="22"/>
      </w:rPr>
      <w:t xml:space="preserve"> of Lithuania</w:t>
    </w:r>
    <w:r w:rsidRPr="003F142C">
      <w:rPr>
        <w:rFonts w:asciiTheme="majorHAnsi" w:hAnsiTheme="majorHAnsi" w:cs="Arial"/>
        <w:sz w:val="22"/>
        <w:szCs w:val="22"/>
      </w:rPr>
      <w:t xml:space="preserve"> </w:t>
    </w:r>
  </w:p>
  <w:p w14:paraId="1DC6E775" w14:textId="64975BCB" w:rsidR="00FA8D76" w:rsidRPr="003F142C" w:rsidRDefault="12BC2F14" w:rsidP="7D47AB9F">
    <w:pPr>
      <w:spacing w:after="0" w:line="240" w:lineRule="auto"/>
      <w:jc w:val="right"/>
      <w:rPr>
        <w:rFonts w:asciiTheme="majorHAnsi" w:hAnsiTheme="majorHAnsi" w:cs="Arial"/>
        <w:sz w:val="22"/>
        <w:szCs w:val="22"/>
      </w:rPr>
    </w:pPr>
    <w:r w:rsidRPr="003F142C">
      <w:rPr>
        <w:rFonts w:asciiTheme="majorHAnsi" w:hAnsiTheme="majorHAnsi" w:cs="Arial"/>
        <w:sz w:val="22"/>
        <w:szCs w:val="22"/>
      </w:rPr>
      <w:t>Annex No.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372"/>
    <w:multiLevelType w:val="multilevel"/>
    <w:tmpl w:val="6E648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D6ECC"/>
    <w:multiLevelType w:val="multilevel"/>
    <w:tmpl w:val="8D30E5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AA35EA"/>
    <w:multiLevelType w:val="multilevel"/>
    <w:tmpl w:val="14880E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427E27"/>
    <w:multiLevelType w:val="multilevel"/>
    <w:tmpl w:val="C012F8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ED07217"/>
    <w:multiLevelType w:val="multilevel"/>
    <w:tmpl w:val="6080AC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BE1735"/>
    <w:multiLevelType w:val="multilevel"/>
    <w:tmpl w:val="4FE696F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40" w:hanging="360"/>
      </w:pPr>
      <w:rPr>
        <w:rFonts w:ascii="Arial" w:hAnsi="Arial" w:cs="Arial" w:hint="default"/>
        <w:sz w:val="20"/>
        <w:szCs w:val="20"/>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ascii="Times New Roman" w:hAnsi="Times New Roman" w:cs="Times New Roman" w:hint="default"/>
        <w:sz w:val="24"/>
      </w:rPr>
    </w:lvl>
    <w:lvl w:ilvl="4">
      <w:start w:val="1"/>
      <w:numFmt w:val="decimal"/>
      <w:lvlText w:val="%1.%2.%3.%4.%5."/>
      <w:lvlJc w:val="left"/>
      <w:pPr>
        <w:ind w:left="5400" w:hanging="1080"/>
      </w:pPr>
      <w:rPr>
        <w:rFonts w:ascii="Times New Roman" w:hAnsi="Times New Roman" w:cs="Times New Roman" w:hint="default"/>
        <w:sz w:val="24"/>
      </w:rPr>
    </w:lvl>
    <w:lvl w:ilvl="5">
      <w:start w:val="1"/>
      <w:numFmt w:val="decimal"/>
      <w:lvlText w:val="%1.%2.%3.%4.%5.%6."/>
      <w:lvlJc w:val="left"/>
      <w:pPr>
        <w:ind w:left="6480" w:hanging="1080"/>
      </w:pPr>
      <w:rPr>
        <w:rFonts w:ascii="Times New Roman" w:hAnsi="Times New Roman" w:cs="Times New Roman" w:hint="default"/>
        <w:sz w:val="24"/>
      </w:rPr>
    </w:lvl>
    <w:lvl w:ilvl="6">
      <w:start w:val="1"/>
      <w:numFmt w:val="decimal"/>
      <w:lvlText w:val="%1.%2.%3.%4.%5.%6.%7."/>
      <w:lvlJc w:val="left"/>
      <w:pPr>
        <w:ind w:left="7920" w:hanging="1440"/>
      </w:pPr>
      <w:rPr>
        <w:rFonts w:ascii="Times New Roman" w:hAnsi="Times New Roman" w:cs="Times New Roman" w:hint="default"/>
        <w:sz w:val="24"/>
      </w:rPr>
    </w:lvl>
    <w:lvl w:ilvl="7">
      <w:start w:val="1"/>
      <w:numFmt w:val="decimal"/>
      <w:lvlText w:val="%1.%2.%3.%4.%5.%6.%7.%8."/>
      <w:lvlJc w:val="left"/>
      <w:pPr>
        <w:ind w:left="9000" w:hanging="1440"/>
      </w:pPr>
      <w:rPr>
        <w:rFonts w:ascii="Times New Roman" w:hAnsi="Times New Roman" w:cs="Times New Roman" w:hint="default"/>
        <w:sz w:val="24"/>
      </w:rPr>
    </w:lvl>
    <w:lvl w:ilvl="8">
      <w:start w:val="1"/>
      <w:numFmt w:val="decimal"/>
      <w:lvlText w:val="%1.%2.%3.%4.%5.%6.%7.%8.%9."/>
      <w:lvlJc w:val="left"/>
      <w:pPr>
        <w:ind w:left="10440" w:hanging="1800"/>
      </w:pPr>
      <w:rPr>
        <w:rFonts w:ascii="Times New Roman" w:hAnsi="Times New Roman" w:cs="Times New Roman" w:hint="default"/>
        <w:sz w:val="24"/>
      </w:rPr>
    </w:lvl>
  </w:abstractNum>
  <w:abstractNum w:abstractNumId="6" w15:restartNumberingAfterBreak="0">
    <w:nsid w:val="49B86EAA"/>
    <w:multiLevelType w:val="multilevel"/>
    <w:tmpl w:val="9B72FC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A7B44"/>
    <w:multiLevelType w:val="multilevel"/>
    <w:tmpl w:val="65025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03ACE"/>
    <w:multiLevelType w:val="multilevel"/>
    <w:tmpl w:val="5944F21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3332A"/>
    <w:multiLevelType w:val="multilevel"/>
    <w:tmpl w:val="1C14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51088"/>
    <w:multiLevelType w:val="multilevel"/>
    <w:tmpl w:val="D728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22F08"/>
    <w:multiLevelType w:val="multilevel"/>
    <w:tmpl w:val="EE446B8C"/>
    <w:lvl w:ilvl="0">
      <w:start w:val="6"/>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1216702205">
    <w:abstractNumId w:val="8"/>
  </w:num>
  <w:num w:numId="2" w16cid:durableId="991563201">
    <w:abstractNumId w:val="6"/>
  </w:num>
  <w:num w:numId="3" w16cid:durableId="802236482">
    <w:abstractNumId w:val="5"/>
  </w:num>
  <w:num w:numId="4" w16cid:durableId="1687561718">
    <w:abstractNumId w:val="4"/>
  </w:num>
  <w:num w:numId="5" w16cid:durableId="1760903598">
    <w:abstractNumId w:val="2"/>
  </w:num>
  <w:num w:numId="6" w16cid:durableId="726880463">
    <w:abstractNumId w:val="1"/>
  </w:num>
  <w:num w:numId="7" w16cid:durableId="569123402">
    <w:abstractNumId w:val="11"/>
  </w:num>
  <w:num w:numId="8" w16cid:durableId="2058698472">
    <w:abstractNumId w:val="3"/>
  </w:num>
  <w:num w:numId="9" w16cid:durableId="1144464625">
    <w:abstractNumId w:val="0"/>
  </w:num>
  <w:num w:numId="10" w16cid:durableId="549803234">
    <w:abstractNumId w:val="9"/>
  </w:num>
  <w:num w:numId="11" w16cid:durableId="1718972361">
    <w:abstractNumId w:val="10"/>
  </w:num>
  <w:num w:numId="12" w16cid:durableId="1947031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A"/>
    <w:rsid w:val="00001943"/>
    <w:rsid w:val="000032BD"/>
    <w:rsid w:val="00003D13"/>
    <w:rsid w:val="000048EB"/>
    <w:rsid w:val="00006882"/>
    <w:rsid w:val="0001173D"/>
    <w:rsid w:val="00017E29"/>
    <w:rsid w:val="00023429"/>
    <w:rsid w:val="000234B3"/>
    <w:rsid w:val="00026EBA"/>
    <w:rsid w:val="000312C2"/>
    <w:rsid w:val="0003250C"/>
    <w:rsid w:val="00034059"/>
    <w:rsid w:val="000341BA"/>
    <w:rsid w:val="0004617C"/>
    <w:rsid w:val="00046B12"/>
    <w:rsid w:val="000531D9"/>
    <w:rsid w:val="00055102"/>
    <w:rsid w:val="00066C17"/>
    <w:rsid w:val="00074481"/>
    <w:rsid w:val="00084C63"/>
    <w:rsid w:val="00086C2E"/>
    <w:rsid w:val="0008790D"/>
    <w:rsid w:val="00090604"/>
    <w:rsid w:val="00091CB3"/>
    <w:rsid w:val="00096928"/>
    <w:rsid w:val="000A5812"/>
    <w:rsid w:val="000B0890"/>
    <w:rsid w:val="000B14AD"/>
    <w:rsid w:val="000B3229"/>
    <w:rsid w:val="000B789B"/>
    <w:rsid w:val="000C4839"/>
    <w:rsid w:val="000C60BA"/>
    <w:rsid w:val="000D046D"/>
    <w:rsid w:val="000D5638"/>
    <w:rsid w:val="000D78F3"/>
    <w:rsid w:val="000E0F0B"/>
    <w:rsid w:val="000E2AC6"/>
    <w:rsid w:val="000E5731"/>
    <w:rsid w:val="000F0C36"/>
    <w:rsid w:val="000F7489"/>
    <w:rsid w:val="0011153E"/>
    <w:rsid w:val="00112794"/>
    <w:rsid w:val="0011279E"/>
    <w:rsid w:val="001172A6"/>
    <w:rsid w:val="00121FFF"/>
    <w:rsid w:val="0012213E"/>
    <w:rsid w:val="00126556"/>
    <w:rsid w:val="00127F71"/>
    <w:rsid w:val="00132DDE"/>
    <w:rsid w:val="00142807"/>
    <w:rsid w:val="00144580"/>
    <w:rsid w:val="001473E7"/>
    <w:rsid w:val="00163DB0"/>
    <w:rsid w:val="00165D69"/>
    <w:rsid w:val="00166369"/>
    <w:rsid w:val="00170A67"/>
    <w:rsid w:val="00184573"/>
    <w:rsid w:val="00191DDE"/>
    <w:rsid w:val="00193D23"/>
    <w:rsid w:val="00195420"/>
    <w:rsid w:val="00195B77"/>
    <w:rsid w:val="00195C83"/>
    <w:rsid w:val="001A006E"/>
    <w:rsid w:val="001A2D7F"/>
    <w:rsid w:val="001C41BA"/>
    <w:rsid w:val="001C4220"/>
    <w:rsid w:val="001C7961"/>
    <w:rsid w:val="001D159E"/>
    <w:rsid w:val="001D2BFC"/>
    <w:rsid w:val="001D3752"/>
    <w:rsid w:val="001E3D3C"/>
    <w:rsid w:val="001E61A9"/>
    <w:rsid w:val="001E7F4A"/>
    <w:rsid w:val="001F2247"/>
    <w:rsid w:val="001F4736"/>
    <w:rsid w:val="00201829"/>
    <w:rsid w:val="00202FDC"/>
    <w:rsid w:val="002069DB"/>
    <w:rsid w:val="002144D0"/>
    <w:rsid w:val="00215444"/>
    <w:rsid w:val="00217D1C"/>
    <w:rsid w:val="00221914"/>
    <w:rsid w:val="00223A48"/>
    <w:rsid w:val="00224C54"/>
    <w:rsid w:val="00230A43"/>
    <w:rsid w:val="002416B9"/>
    <w:rsid w:val="00267191"/>
    <w:rsid w:val="00270599"/>
    <w:rsid w:val="00270E92"/>
    <w:rsid w:val="00271113"/>
    <w:rsid w:val="00272B7B"/>
    <w:rsid w:val="00275CAE"/>
    <w:rsid w:val="00280052"/>
    <w:rsid w:val="0029091F"/>
    <w:rsid w:val="002914B2"/>
    <w:rsid w:val="002C576C"/>
    <w:rsid w:val="002D2233"/>
    <w:rsid w:val="002D27C8"/>
    <w:rsid w:val="002D3ED3"/>
    <w:rsid w:val="002D4256"/>
    <w:rsid w:val="002E4103"/>
    <w:rsid w:val="002F3692"/>
    <w:rsid w:val="003141BB"/>
    <w:rsid w:val="00321B3C"/>
    <w:rsid w:val="00326E1E"/>
    <w:rsid w:val="003439DD"/>
    <w:rsid w:val="003520CF"/>
    <w:rsid w:val="00357CDF"/>
    <w:rsid w:val="003602C0"/>
    <w:rsid w:val="00366A03"/>
    <w:rsid w:val="00385438"/>
    <w:rsid w:val="00385F8C"/>
    <w:rsid w:val="00391A29"/>
    <w:rsid w:val="00394D19"/>
    <w:rsid w:val="003A5CD6"/>
    <w:rsid w:val="003B195B"/>
    <w:rsid w:val="003B368F"/>
    <w:rsid w:val="003B7366"/>
    <w:rsid w:val="003B7E46"/>
    <w:rsid w:val="003C29D1"/>
    <w:rsid w:val="003C2FE3"/>
    <w:rsid w:val="003E0BF6"/>
    <w:rsid w:val="003F142C"/>
    <w:rsid w:val="003F19E1"/>
    <w:rsid w:val="00407D8B"/>
    <w:rsid w:val="00414065"/>
    <w:rsid w:val="004150F6"/>
    <w:rsid w:val="00421551"/>
    <w:rsid w:val="004244FB"/>
    <w:rsid w:val="0043032C"/>
    <w:rsid w:val="00430B62"/>
    <w:rsid w:val="00433740"/>
    <w:rsid w:val="0044352E"/>
    <w:rsid w:val="00451C05"/>
    <w:rsid w:val="00452649"/>
    <w:rsid w:val="00453276"/>
    <w:rsid w:val="004563A2"/>
    <w:rsid w:val="004648AA"/>
    <w:rsid w:val="004656B8"/>
    <w:rsid w:val="00465F67"/>
    <w:rsid w:val="00491F65"/>
    <w:rsid w:val="00494E90"/>
    <w:rsid w:val="004A4AA8"/>
    <w:rsid w:val="004A510C"/>
    <w:rsid w:val="004B16E3"/>
    <w:rsid w:val="004B73CA"/>
    <w:rsid w:val="004C030D"/>
    <w:rsid w:val="004C2A71"/>
    <w:rsid w:val="004D43F1"/>
    <w:rsid w:val="004E378E"/>
    <w:rsid w:val="004F16D9"/>
    <w:rsid w:val="004F3181"/>
    <w:rsid w:val="004F61F7"/>
    <w:rsid w:val="00500210"/>
    <w:rsid w:val="00504DCC"/>
    <w:rsid w:val="005061EF"/>
    <w:rsid w:val="00507770"/>
    <w:rsid w:val="00512F5F"/>
    <w:rsid w:val="00524885"/>
    <w:rsid w:val="00525BCB"/>
    <w:rsid w:val="005354F5"/>
    <w:rsid w:val="005436B0"/>
    <w:rsid w:val="005453D9"/>
    <w:rsid w:val="00546965"/>
    <w:rsid w:val="00553117"/>
    <w:rsid w:val="00566079"/>
    <w:rsid w:val="00566973"/>
    <w:rsid w:val="0057529C"/>
    <w:rsid w:val="00575AB4"/>
    <w:rsid w:val="0059468A"/>
    <w:rsid w:val="00594FDF"/>
    <w:rsid w:val="0059518D"/>
    <w:rsid w:val="005B412B"/>
    <w:rsid w:val="005D45ED"/>
    <w:rsid w:val="005E2616"/>
    <w:rsid w:val="006124A9"/>
    <w:rsid w:val="006154D0"/>
    <w:rsid w:val="00615C16"/>
    <w:rsid w:val="006166B7"/>
    <w:rsid w:val="006249E2"/>
    <w:rsid w:val="00633183"/>
    <w:rsid w:val="006356A0"/>
    <w:rsid w:val="00635C0E"/>
    <w:rsid w:val="006418EB"/>
    <w:rsid w:val="00642749"/>
    <w:rsid w:val="00646211"/>
    <w:rsid w:val="0064658E"/>
    <w:rsid w:val="00647386"/>
    <w:rsid w:val="006534A3"/>
    <w:rsid w:val="006541E4"/>
    <w:rsid w:val="00662241"/>
    <w:rsid w:val="00663487"/>
    <w:rsid w:val="00665AAB"/>
    <w:rsid w:val="006716D6"/>
    <w:rsid w:val="00671E9F"/>
    <w:rsid w:val="00675B48"/>
    <w:rsid w:val="0068435C"/>
    <w:rsid w:val="00693B91"/>
    <w:rsid w:val="006A240B"/>
    <w:rsid w:val="006A5A03"/>
    <w:rsid w:val="006B2590"/>
    <w:rsid w:val="006B47A9"/>
    <w:rsid w:val="006B65C0"/>
    <w:rsid w:val="006B7F85"/>
    <w:rsid w:val="006C1A0B"/>
    <w:rsid w:val="006C4CD3"/>
    <w:rsid w:val="006D496D"/>
    <w:rsid w:val="006D7944"/>
    <w:rsid w:val="006E04D0"/>
    <w:rsid w:val="006E064E"/>
    <w:rsid w:val="006F2D0A"/>
    <w:rsid w:val="006F5E32"/>
    <w:rsid w:val="00700E85"/>
    <w:rsid w:val="00700F16"/>
    <w:rsid w:val="00702994"/>
    <w:rsid w:val="00712BC6"/>
    <w:rsid w:val="00717EDA"/>
    <w:rsid w:val="0072082E"/>
    <w:rsid w:val="00721CCE"/>
    <w:rsid w:val="00722C29"/>
    <w:rsid w:val="007240E0"/>
    <w:rsid w:val="007258F5"/>
    <w:rsid w:val="00737282"/>
    <w:rsid w:val="0074748E"/>
    <w:rsid w:val="007511E2"/>
    <w:rsid w:val="00756366"/>
    <w:rsid w:val="00761EDB"/>
    <w:rsid w:val="00776BBB"/>
    <w:rsid w:val="00780E6F"/>
    <w:rsid w:val="00782259"/>
    <w:rsid w:val="007845F4"/>
    <w:rsid w:val="007854B8"/>
    <w:rsid w:val="007863B7"/>
    <w:rsid w:val="0079597D"/>
    <w:rsid w:val="007B4569"/>
    <w:rsid w:val="007C6090"/>
    <w:rsid w:val="007D74DE"/>
    <w:rsid w:val="007E2C39"/>
    <w:rsid w:val="007E2EA1"/>
    <w:rsid w:val="007F5A4B"/>
    <w:rsid w:val="007F78F9"/>
    <w:rsid w:val="0080138E"/>
    <w:rsid w:val="008014FD"/>
    <w:rsid w:val="0080298B"/>
    <w:rsid w:val="008030AB"/>
    <w:rsid w:val="008037D3"/>
    <w:rsid w:val="00811170"/>
    <w:rsid w:val="008138D8"/>
    <w:rsid w:val="00815DE9"/>
    <w:rsid w:val="00816F64"/>
    <w:rsid w:val="00821D7F"/>
    <w:rsid w:val="00825917"/>
    <w:rsid w:val="00831AED"/>
    <w:rsid w:val="00843A1C"/>
    <w:rsid w:val="00844D6D"/>
    <w:rsid w:val="00846351"/>
    <w:rsid w:val="0085115F"/>
    <w:rsid w:val="00863710"/>
    <w:rsid w:val="00877CBA"/>
    <w:rsid w:val="008825A3"/>
    <w:rsid w:val="00885F2D"/>
    <w:rsid w:val="00891919"/>
    <w:rsid w:val="00893983"/>
    <w:rsid w:val="008948E5"/>
    <w:rsid w:val="008962F5"/>
    <w:rsid w:val="008A5D84"/>
    <w:rsid w:val="008B212E"/>
    <w:rsid w:val="008E0222"/>
    <w:rsid w:val="008E059E"/>
    <w:rsid w:val="008E16FB"/>
    <w:rsid w:val="008E21D1"/>
    <w:rsid w:val="008E61C1"/>
    <w:rsid w:val="008F538D"/>
    <w:rsid w:val="008F6DB6"/>
    <w:rsid w:val="009012B3"/>
    <w:rsid w:val="00923EAA"/>
    <w:rsid w:val="00932509"/>
    <w:rsid w:val="00941F8A"/>
    <w:rsid w:val="00943C97"/>
    <w:rsid w:val="00945BF1"/>
    <w:rsid w:val="00945FB9"/>
    <w:rsid w:val="009467C0"/>
    <w:rsid w:val="00950C3B"/>
    <w:rsid w:val="009536BC"/>
    <w:rsid w:val="00971F96"/>
    <w:rsid w:val="00982725"/>
    <w:rsid w:val="0098786D"/>
    <w:rsid w:val="009955A7"/>
    <w:rsid w:val="009960DA"/>
    <w:rsid w:val="009B0B09"/>
    <w:rsid w:val="009B22F2"/>
    <w:rsid w:val="009C63FE"/>
    <w:rsid w:val="009C6D44"/>
    <w:rsid w:val="009C7DF1"/>
    <w:rsid w:val="009D1220"/>
    <w:rsid w:val="009F13FA"/>
    <w:rsid w:val="009F29B9"/>
    <w:rsid w:val="009F3E1B"/>
    <w:rsid w:val="009F572D"/>
    <w:rsid w:val="00A02704"/>
    <w:rsid w:val="00A02F70"/>
    <w:rsid w:val="00A0320B"/>
    <w:rsid w:val="00A116A0"/>
    <w:rsid w:val="00A1652B"/>
    <w:rsid w:val="00A25107"/>
    <w:rsid w:val="00A30EAF"/>
    <w:rsid w:val="00A332DC"/>
    <w:rsid w:val="00A4494D"/>
    <w:rsid w:val="00A46E4E"/>
    <w:rsid w:val="00A5520A"/>
    <w:rsid w:val="00A65DEE"/>
    <w:rsid w:val="00A6608D"/>
    <w:rsid w:val="00A74CCC"/>
    <w:rsid w:val="00A75F9D"/>
    <w:rsid w:val="00A8363A"/>
    <w:rsid w:val="00A937D2"/>
    <w:rsid w:val="00A93FEC"/>
    <w:rsid w:val="00AB09F0"/>
    <w:rsid w:val="00AB7BAC"/>
    <w:rsid w:val="00AD76B3"/>
    <w:rsid w:val="00AE31BA"/>
    <w:rsid w:val="00AE3229"/>
    <w:rsid w:val="00B00046"/>
    <w:rsid w:val="00B0333D"/>
    <w:rsid w:val="00B049FD"/>
    <w:rsid w:val="00B064C8"/>
    <w:rsid w:val="00B115DA"/>
    <w:rsid w:val="00B14665"/>
    <w:rsid w:val="00B166FC"/>
    <w:rsid w:val="00B207F5"/>
    <w:rsid w:val="00B225EA"/>
    <w:rsid w:val="00B26051"/>
    <w:rsid w:val="00B30686"/>
    <w:rsid w:val="00B31E72"/>
    <w:rsid w:val="00B34475"/>
    <w:rsid w:val="00B40752"/>
    <w:rsid w:val="00B47720"/>
    <w:rsid w:val="00B50C9F"/>
    <w:rsid w:val="00B55E0F"/>
    <w:rsid w:val="00B57733"/>
    <w:rsid w:val="00B62E88"/>
    <w:rsid w:val="00B66BB6"/>
    <w:rsid w:val="00B74F40"/>
    <w:rsid w:val="00B7657F"/>
    <w:rsid w:val="00B81394"/>
    <w:rsid w:val="00B82376"/>
    <w:rsid w:val="00B87929"/>
    <w:rsid w:val="00B920E4"/>
    <w:rsid w:val="00B94B0B"/>
    <w:rsid w:val="00B97CEA"/>
    <w:rsid w:val="00BC3210"/>
    <w:rsid w:val="00BC56A7"/>
    <w:rsid w:val="00BC7EDF"/>
    <w:rsid w:val="00BD1899"/>
    <w:rsid w:val="00BD424F"/>
    <w:rsid w:val="00BD5382"/>
    <w:rsid w:val="00BE3F38"/>
    <w:rsid w:val="00BF60D6"/>
    <w:rsid w:val="00C022E9"/>
    <w:rsid w:val="00C061C2"/>
    <w:rsid w:val="00C069F9"/>
    <w:rsid w:val="00C25094"/>
    <w:rsid w:val="00C268C6"/>
    <w:rsid w:val="00C3089F"/>
    <w:rsid w:val="00C30EFA"/>
    <w:rsid w:val="00C33DB8"/>
    <w:rsid w:val="00C3525B"/>
    <w:rsid w:val="00C3729F"/>
    <w:rsid w:val="00C50A9F"/>
    <w:rsid w:val="00C544FD"/>
    <w:rsid w:val="00C547FC"/>
    <w:rsid w:val="00C72C80"/>
    <w:rsid w:val="00C75672"/>
    <w:rsid w:val="00C80525"/>
    <w:rsid w:val="00C90847"/>
    <w:rsid w:val="00CB0FB4"/>
    <w:rsid w:val="00CC17F3"/>
    <w:rsid w:val="00CC488C"/>
    <w:rsid w:val="00CD065B"/>
    <w:rsid w:val="00CE1A25"/>
    <w:rsid w:val="00CE2BA7"/>
    <w:rsid w:val="00CE4B3D"/>
    <w:rsid w:val="00D05D5F"/>
    <w:rsid w:val="00D100F4"/>
    <w:rsid w:val="00D13CB1"/>
    <w:rsid w:val="00D210C4"/>
    <w:rsid w:val="00D24351"/>
    <w:rsid w:val="00D2690D"/>
    <w:rsid w:val="00D32CA1"/>
    <w:rsid w:val="00D45F8C"/>
    <w:rsid w:val="00D51473"/>
    <w:rsid w:val="00D70F39"/>
    <w:rsid w:val="00D7629C"/>
    <w:rsid w:val="00D76A80"/>
    <w:rsid w:val="00D83B81"/>
    <w:rsid w:val="00D97F29"/>
    <w:rsid w:val="00DA64E9"/>
    <w:rsid w:val="00DA739F"/>
    <w:rsid w:val="00DA7879"/>
    <w:rsid w:val="00DB00B6"/>
    <w:rsid w:val="00DB03C7"/>
    <w:rsid w:val="00DB0C7C"/>
    <w:rsid w:val="00DB2B22"/>
    <w:rsid w:val="00DB65B6"/>
    <w:rsid w:val="00DC2D73"/>
    <w:rsid w:val="00DC62C2"/>
    <w:rsid w:val="00DD26A7"/>
    <w:rsid w:val="00DD2E4B"/>
    <w:rsid w:val="00DD4B36"/>
    <w:rsid w:val="00DD62A1"/>
    <w:rsid w:val="00DE6837"/>
    <w:rsid w:val="00DE7FA1"/>
    <w:rsid w:val="00DF1476"/>
    <w:rsid w:val="00DF4E24"/>
    <w:rsid w:val="00DF5D0B"/>
    <w:rsid w:val="00DF610D"/>
    <w:rsid w:val="00DF6206"/>
    <w:rsid w:val="00E03F3D"/>
    <w:rsid w:val="00E12186"/>
    <w:rsid w:val="00E12328"/>
    <w:rsid w:val="00E144E2"/>
    <w:rsid w:val="00E23871"/>
    <w:rsid w:val="00E260D1"/>
    <w:rsid w:val="00E33051"/>
    <w:rsid w:val="00E43693"/>
    <w:rsid w:val="00E43AD6"/>
    <w:rsid w:val="00E501DE"/>
    <w:rsid w:val="00E52699"/>
    <w:rsid w:val="00E67812"/>
    <w:rsid w:val="00E70214"/>
    <w:rsid w:val="00E708AD"/>
    <w:rsid w:val="00E72371"/>
    <w:rsid w:val="00E9067E"/>
    <w:rsid w:val="00E90B9F"/>
    <w:rsid w:val="00EA0EEB"/>
    <w:rsid w:val="00EA56F1"/>
    <w:rsid w:val="00EA68DA"/>
    <w:rsid w:val="00EB27D3"/>
    <w:rsid w:val="00EB6553"/>
    <w:rsid w:val="00EC78BC"/>
    <w:rsid w:val="00ED0DC7"/>
    <w:rsid w:val="00ED1A8E"/>
    <w:rsid w:val="00ED28B4"/>
    <w:rsid w:val="00ED69A6"/>
    <w:rsid w:val="00ED6E2B"/>
    <w:rsid w:val="00ED780A"/>
    <w:rsid w:val="00EE01C4"/>
    <w:rsid w:val="00EF0B7B"/>
    <w:rsid w:val="00EF2059"/>
    <w:rsid w:val="00EF590F"/>
    <w:rsid w:val="00EF65FA"/>
    <w:rsid w:val="00F00737"/>
    <w:rsid w:val="00F02D1D"/>
    <w:rsid w:val="00F04717"/>
    <w:rsid w:val="00F0611A"/>
    <w:rsid w:val="00F0632B"/>
    <w:rsid w:val="00F22B3F"/>
    <w:rsid w:val="00F277EE"/>
    <w:rsid w:val="00F30B50"/>
    <w:rsid w:val="00F35940"/>
    <w:rsid w:val="00F415F8"/>
    <w:rsid w:val="00F531EB"/>
    <w:rsid w:val="00F556B5"/>
    <w:rsid w:val="00F57027"/>
    <w:rsid w:val="00F609DD"/>
    <w:rsid w:val="00F63CCC"/>
    <w:rsid w:val="00F700D5"/>
    <w:rsid w:val="00F71BF8"/>
    <w:rsid w:val="00F745F8"/>
    <w:rsid w:val="00F74820"/>
    <w:rsid w:val="00F75F11"/>
    <w:rsid w:val="00F76EE3"/>
    <w:rsid w:val="00F80B19"/>
    <w:rsid w:val="00F82EB6"/>
    <w:rsid w:val="00F83C2C"/>
    <w:rsid w:val="00F90728"/>
    <w:rsid w:val="00FA0AB7"/>
    <w:rsid w:val="00FA213D"/>
    <w:rsid w:val="00FA30BA"/>
    <w:rsid w:val="00FA45B8"/>
    <w:rsid w:val="00FA4D1B"/>
    <w:rsid w:val="00FA8D76"/>
    <w:rsid w:val="00FB1753"/>
    <w:rsid w:val="00FB583F"/>
    <w:rsid w:val="00FC2206"/>
    <w:rsid w:val="00FC613A"/>
    <w:rsid w:val="00FD33A1"/>
    <w:rsid w:val="00FD5404"/>
    <w:rsid w:val="00FD6732"/>
    <w:rsid w:val="00FD68C4"/>
    <w:rsid w:val="00FE1C1A"/>
    <w:rsid w:val="00FE1E60"/>
    <w:rsid w:val="00FE76CB"/>
    <w:rsid w:val="00FF1738"/>
    <w:rsid w:val="00FF3318"/>
    <w:rsid w:val="06ED02BF"/>
    <w:rsid w:val="12BC2F14"/>
    <w:rsid w:val="7D47AB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CB63"/>
  <w15:chartTrackingRefBased/>
  <w15:docId w15:val="{1AE9C7B1-9A2F-456D-8D20-94635E44C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BA"/>
  </w:style>
  <w:style w:type="paragraph" w:styleId="Heading1">
    <w:name w:val="heading 1"/>
    <w:basedOn w:val="Normal"/>
    <w:next w:val="Normal"/>
    <w:link w:val="Heading1Char"/>
    <w:uiPriority w:val="9"/>
    <w:qFormat/>
    <w:rsid w:val="00034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1BA"/>
    <w:rPr>
      <w:rFonts w:eastAsiaTheme="majorEastAsia" w:cstheme="majorBidi"/>
      <w:color w:val="272727" w:themeColor="text1" w:themeTint="D8"/>
    </w:rPr>
  </w:style>
  <w:style w:type="paragraph" w:styleId="Title">
    <w:name w:val="Title"/>
    <w:basedOn w:val="Normal"/>
    <w:next w:val="Normal"/>
    <w:link w:val="TitleChar"/>
    <w:uiPriority w:val="10"/>
    <w:qFormat/>
    <w:rsid w:val="00034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1BA"/>
    <w:pPr>
      <w:spacing w:before="160"/>
      <w:jc w:val="center"/>
    </w:pPr>
    <w:rPr>
      <w:i/>
      <w:iCs/>
      <w:color w:val="404040" w:themeColor="text1" w:themeTint="BF"/>
    </w:rPr>
  </w:style>
  <w:style w:type="character" w:customStyle="1" w:styleId="QuoteChar">
    <w:name w:val="Quote Char"/>
    <w:basedOn w:val="DefaultParagraphFont"/>
    <w:link w:val="Quote"/>
    <w:uiPriority w:val="29"/>
    <w:rsid w:val="000341BA"/>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not in Table,Numbered List,Lentele,List Paragraph "/>
    <w:basedOn w:val="Normal"/>
    <w:link w:val="ListParagraphChar"/>
    <w:uiPriority w:val="34"/>
    <w:qFormat/>
    <w:rsid w:val="000341BA"/>
    <w:pPr>
      <w:ind w:left="720"/>
      <w:contextualSpacing/>
    </w:pPr>
  </w:style>
  <w:style w:type="character" w:styleId="IntenseEmphasis">
    <w:name w:val="Intense Emphasis"/>
    <w:basedOn w:val="DefaultParagraphFont"/>
    <w:uiPriority w:val="21"/>
    <w:qFormat/>
    <w:rsid w:val="000341BA"/>
    <w:rPr>
      <w:i/>
      <w:iCs/>
      <w:color w:val="0F4761" w:themeColor="accent1" w:themeShade="BF"/>
    </w:rPr>
  </w:style>
  <w:style w:type="paragraph" w:styleId="IntenseQuote">
    <w:name w:val="Intense Quote"/>
    <w:basedOn w:val="Normal"/>
    <w:next w:val="Normal"/>
    <w:link w:val="IntenseQuoteChar"/>
    <w:uiPriority w:val="30"/>
    <w:qFormat/>
    <w:rsid w:val="00034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1BA"/>
    <w:rPr>
      <w:i/>
      <w:iCs/>
      <w:color w:val="0F4761" w:themeColor="accent1" w:themeShade="BF"/>
    </w:rPr>
  </w:style>
  <w:style w:type="character" w:styleId="IntenseReference">
    <w:name w:val="Intense Reference"/>
    <w:basedOn w:val="DefaultParagraphFont"/>
    <w:uiPriority w:val="32"/>
    <w:qFormat/>
    <w:rsid w:val="000341BA"/>
    <w:rPr>
      <w:b/>
      <w:bCs/>
      <w:smallCaps/>
      <w:color w:val="0F4761" w:themeColor="accent1" w:themeShade="BF"/>
      <w:spacing w:val="5"/>
    </w:rPr>
  </w:style>
  <w:style w:type="paragraph" w:styleId="Header">
    <w:name w:val="header"/>
    <w:basedOn w:val="Normal"/>
    <w:link w:val="HeaderChar"/>
    <w:uiPriority w:val="99"/>
    <w:unhideWhenUsed/>
    <w:rsid w:val="000341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41BA"/>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0341BA"/>
  </w:style>
  <w:style w:type="character" w:styleId="CommentReference">
    <w:name w:val="annotation reference"/>
    <w:basedOn w:val="DefaultParagraphFont"/>
    <w:uiPriority w:val="99"/>
    <w:semiHidden/>
    <w:unhideWhenUsed/>
    <w:rsid w:val="002E4103"/>
    <w:rPr>
      <w:sz w:val="16"/>
      <w:szCs w:val="16"/>
    </w:rPr>
  </w:style>
  <w:style w:type="paragraph" w:styleId="CommentText">
    <w:name w:val="annotation text"/>
    <w:basedOn w:val="Normal"/>
    <w:link w:val="CommentTextChar"/>
    <w:uiPriority w:val="99"/>
    <w:unhideWhenUsed/>
    <w:rsid w:val="002E4103"/>
    <w:pPr>
      <w:spacing w:line="240" w:lineRule="auto"/>
    </w:pPr>
    <w:rPr>
      <w:sz w:val="20"/>
      <w:szCs w:val="20"/>
    </w:rPr>
  </w:style>
  <w:style w:type="character" w:customStyle="1" w:styleId="CommentTextChar">
    <w:name w:val="Comment Text Char"/>
    <w:basedOn w:val="DefaultParagraphFont"/>
    <w:link w:val="CommentText"/>
    <w:uiPriority w:val="99"/>
    <w:rsid w:val="002E4103"/>
    <w:rPr>
      <w:sz w:val="20"/>
      <w:szCs w:val="20"/>
    </w:rPr>
  </w:style>
  <w:style w:type="paragraph" w:styleId="CommentSubject">
    <w:name w:val="annotation subject"/>
    <w:basedOn w:val="CommentText"/>
    <w:next w:val="CommentText"/>
    <w:link w:val="CommentSubjectChar"/>
    <w:uiPriority w:val="99"/>
    <w:semiHidden/>
    <w:unhideWhenUsed/>
    <w:rsid w:val="002E4103"/>
    <w:rPr>
      <w:b/>
      <w:bCs/>
    </w:rPr>
  </w:style>
  <w:style w:type="character" w:customStyle="1" w:styleId="CommentSubjectChar">
    <w:name w:val="Comment Subject Char"/>
    <w:basedOn w:val="CommentTextChar"/>
    <w:link w:val="CommentSubject"/>
    <w:uiPriority w:val="99"/>
    <w:semiHidden/>
    <w:rsid w:val="002E4103"/>
    <w:rPr>
      <w:b/>
      <w:bCs/>
      <w:sz w:val="20"/>
      <w:szCs w:val="20"/>
    </w:rPr>
  </w:style>
  <w:style w:type="paragraph" w:styleId="Revision">
    <w:name w:val="Revision"/>
    <w:hidden/>
    <w:uiPriority w:val="99"/>
    <w:semiHidden/>
    <w:rsid w:val="00A0320B"/>
    <w:pPr>
      <w:spacing w:after="0" w:line="240" w:lineRule="auto"/>
    </w:pPr>
  </w:style>
  <w:style w:type="paragraph" w:styleId="Footer">
    <w:name w:val="footer"/>
    <w:basedOn w:val="Normal"/>
    <w:link w:val="FooterChar"/>
    <w:uiPriority w:val="99"/>
    <w:unhideWhenUsed/>
    <w:rsid w:val="00F063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632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6ED02BF"/>
    <w:rPr>
      <w:rFonts w:ascii="Tahoma" w:eastAsiaTheme="minorEastAsia"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351B-F3D5-4FBF-9DB6-5E99CAC2E229}">
  <ds:schemaRefs>
    <ds:schemaRef ds:uri="http://schemas.microsoft.com/sharepoint/v3/contenttype/forms"/>
  </ds:schemaRefs>
</ds:datastoreItem>
</file>

<file path=customXml/itemProps2.xml><?xml version="1.0" encoding="utf-8"?>
<ds:datastoreItem xmlns:ds="http://schemas.openxmlformats.org/officeDocument/2006/customXml" ds:itemID="{78D59132-81F1-4D6D-80AC-ED48816D5C8E}">
  <ds:schemaRefs>
    <ds:schemaRef ds:uri="http://schemas.microsoft.com/office/2006/metadata/properties"/>
    <ds:schemaRef ds:uri="http://schemas.microsoft.com/office/infopath/2007/PartnerControls"/>
    <ds:schemaRef ds:uri="8e6f2afb-9b57-41de-8379-8ff12c3189b6"/>
    <ds:schemaRef ds:uri="19087870-50ab-4a66-bc64-4be2dafd3379"/>
  </ds:schemaRefs>
</ds:datastoreItem>
</file>

<file path=customXml/itemProps3.xml><?xml version="1.0" encoding="utf-8"?>
<ds:datastoreItem xmlns:ds="http://schemas.openxmlformats.org/officeDocument/2006/customXml" ds:itemID="{6ED63142-E0CE-4C91-A464-04862B053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2afb-9b57-41de-8379-8ff12c3189b6"/>
    <ds:schemaRef ds:uri="19087870-50ab-4a66-bc64-4be2daf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47D97-2095-4ADC-97A9-D34A219A06CC}">
  <ds:schemaRefs>
    <ds:schemaRef ds:uri="http://schemas.openxmlformats.org/officeDocument/2006/bibliography"/>
  </ds:schemaRefs>
</ds:datastoreItem>
</file>

<file path=docMetadata/LabelInfo.xml><?xml version="1.0" encoding="utf-8"?>
<clbl:labelList xmlns:clbl="http://schemas.microsoft.com/office/2020/mipLabelMetadata">
  <clbl:label id="{6be7ebee-5b98-4973-86ef-ae3752ea54e7}" enabled="1" method="Privileged" siteId="{b9fec68c-c92d-461e-9a97-3d03a0f18b8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1020</Words>
  <Characters>5815</Characters>
  <Application>Microsoft Office Word</Application>
  <DocSecurity>4</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Makuškienė</dc:creator>
  <cp:keywords/>
  <dc:description/>
  <cp:lastModifiedBy>Lina Makuškienė</cp:lastModifiedBy>
  <cp:revision>8</cp:revision>
  <dcterms:created xsi:type="dcterms:W3CDTF">2026-06-22T19:49:00Z</dcterms:created>
  <dcterms:modified xsi:type="dcterms:W3CDTF">2026-06-22T14:06:00Z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ies>
</file>