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0E97" w:rsidR="006D0FCF" w:rsidP="00F5122F" w:rsidRDefault="006D0FCF" w14:paraId="6AD97293" w14:textId="6C351A61">
      <w:pPr>
        <w:tabs>
          <w:tab w:val="left" w:pos="581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Pr="007C0E97" w:rsidR="00541688" w:rsidP="00541688" w:rsidRDefault="00541688" w14:paraId="43854DFA" w14:textId="77777777">
      <w:pPr>
        <w:jc w:val="center"/>
        <w:rPr>
          <w:b/>
          <w:bCs/>
        </w:rPr>
      </w:pPr>
      <w:r w:rsidRPr="007C0E97">
        <w:rPr>
          <w:b/>
          <w:bCs/>
        </w:rPr>
        <w:t>PASLAUGŲ TEIKIMO KOKYBINIŲ RODIKLIŲ APRAŠYMAS</w:t>
      </w:r>
    </w:p>
    <w:p w:rsidRPr="007C0E97" w:rsidR="00541688" w:rsidP="00541688" w:rsidRDefault="00541688" w14:paraId="6C0D4802" w14:textId="77777777">
      <w:pPr>
        <w:rPr>
          <w:b/>
          <w:bCs/>
        </w:rPr>
      </w:pPr>
    </w:p>
    <w:p w:rsidR="000D7F08" w:rsidP="00541688" w:rsidRDefault="000D7F08" w14:paraId="4FAD2204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720"/>
        <w:gridCol w:w="3061"/>
        <w:gridCol w:w="1645"/>
        <w:gridCol w:w="1379"/>
      </w:tblGrid>
      <w:tr w:rsidR="003B450A" w:rsidTr="7EAC34F8" w14:paraId="41337E89" w14:textId="77777777">
        <w:tc>
          <w:tcPr>
            <w:tcW w:w="1731" w:type="dxa"/>
            <w:tcMar/>
          </w:tcPr>
          <w:p w:rsidR="003B450A" w:rsidP="00541688" w:rsidRDefault="003B450A" w14:paraId="328A86A5" w14:textId="17AAC211">
            <w:pPr>
              <w:rPr>
                <w:b/>
                <w:bCs/>
              </w:rPr>
            </w:pPr>
            <w:r>
              <w:rPr>
                <w:b/>
                <w:bCs/>
              </w:rPr>
              <w:t>Nuoroda</w:t>
            </w:r>
          </w:p>
        </w:tc>
        <w:tc>
          <w:tcPr>
            <w:tcW w:w="1720" w:type="dxa"/>
            <w:tcMar/>
          </w:tcPr>
          <w:p w:rsidR="003B450A" w:rsidP="00541688" w:rsidRDefault="003B450A" w14:paraId="075C2995" w14:textId="33C547BA">
            <w:pPr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3061" w:type="dxa"/>
            <w:tcMar/>
          </w:tcPr>
          <w:p w:rsidR="003B450A" w:rsidP="00541688" w:rsidRDefault="003B450A" w14:paraId="75B3F119" w14:textId="01C67005">
            <w:pPr>
              <w:rPr>
                <w:b/>
                <w:bCs/>
              </w:rPr>
            </w:pPr>
            <w:r>
              <w:rPr>
                <w:b/>
                <w:bCs/>
              </w:rPr>
              <w:t>KPI santrauka</w:t>
            </w:r>
          </w:p>
        </w:tc>
        <w:tc>
          <w:tcPr>
            <w:tcW w:w="1645" w:type="dxa"/>
            <w:tcMar/>
          </w:tcPr>
          <w:p w:rsidR="003B450A" w:rsidP="00541688" w:rsidRDefault="003B450A" w14:paraId="13354039" w14:textId="42151D45">
            <w:pPr>
              <w:rPr>
                <w:b/>
                <w:bCs/>
              </w:rPr>
            </w:pPr>
            <w:r>
              <w:rPr>
                <w:b/>
                <w:bCs/>
              </w:rPr>
              <w:t>Tikslinis lygis</w:t>
            </w:r>
          </w:p>
        </w:tc>
        <w:tc>
          <w:tcPr>
            <w:tcW w:w="1379" w:type="dxa"/>
            <w:tcMar/>
          </w:tcPr>
          <w:p w:rsidR="003B450A" w:rsidP="00541688" w:rsidRDefault="004B132B" w14:paraId="7CED9329" w14:textId="686D3BDF">
            <w:pPr>
              <w:rPr>
                <w:b/>
                <w:bCs/>
              </w:rPr>
            </w:pPr>
            <w:r>
              <w:rPr>
                <w:b/>
                <w:bCs/>
              </w:rPr>
              <w:t>Dažnumas</w:t>
            </w:r>
          </w:p>
        </w:tc>
      </w:tr>
      <w:tr w:rsidR="003B450A" w:rsidTr="7EAC34F8" w14:paraId="326650F3" w14:textId="77777777">
        <w:tc>
          <w:tcPr>
            <w:tcW w:w="1731" w:type="dxa"/>
            <w:tcMar/>
          </w:tcPr>
          <w:p w:rsidRPr="0000412A" w:rsidR="003B450A" w:rsidP="00541688" w:rsidRDefault="004B132B" w14:paraId="6F8A244F" w14:textId="7D0C950A">
            <w:r w:rsidRPr="0000412A">
              <w:t>KPI_GNSS1</w:t>
            </w:r>
          </w:p>
        </w:tc>
        <w:tc>
          <w:tcPr>
            <w:tcW w:w="1720" w:type="dxa"/>
            <w:tcMar/>
          </w:tcPr>
          <w:p w:rsidRPr="0000412A" w:rsidR="0046038B" w:rsidP="7EAC34F8" w:rsidRDefault="00C20778" w14:paraId="6B801533" w14:textId="719BDE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AB5554D">
              <w:rPr/>
              <w:t xml:space="preserve">Rinkliavos </w:t>
            </w:r>
            <w:r w:rsidR="7B58092D">
              <w:rPr/>
              <w:t>deklaracijų</w:t>
            </w:r>
            <w:r w:rsidR="7B58092D">
              <w:rPr/>
              <w:t xml:space="preserve"> </w:t>
            </w:r>
            <w:r w:rsidR="7B58092D">
              <w:rPr/>
              <w:t>pateikimo</w:t>
            </w:r>
            <w:r w:rsidR="7B58092D">
              <w:rPr/>
              <w:t xml:space="preserve"> </w:t>
            </w:r>
            <w:r w:rsidR="7B58092D">
              <w:rPr/>
              <w:t>laik</w:t>
            </w:r>
            <w:r w:rsidR="3B997D70">
              <w:rPr/>
              <w:t>o</w:t>
            </w:r>
            <w:r w:rsidR="3B997D70">
              <w:rPr/>
              <w:t xml:space="preserve"> </w:t>
            </w:r>
            <w:r w:rsidR="3B997D70">
              <w:rPr/>
              <w:t>rodiklis</w:t>
            </w:r>
            <w:r w:rsidR="7B58092D">
              <w:rPr/>
              <w:t xml:space="preserve"> – </w:t>
            </w:r>
            <w:r w:rsidR="7B58092D">
              <w:rPr/>
              <w:t>trumpas</w:t>
            </w:r>
            <w:r w:rsidR="7B58092D">
              <w:rPr/>
              <w:t xml:space="preserve"> </w:t>
            </w:r>
            <w:r w:rsidR="7B58092D">
              <w:rPr/>
              <w:t>laikotarpis</w:t>
            </w:r>
          </w:p>
          <w:p w:rsidRPr="0000412A" w:rsidR="003B450A" w:rsidP="00541688" w:rsidRDefault="003B450A" w14:paraId="219FE309" w14:textId="77777777"/>
        </w:tc>
        <w:tc>
          <w:tcPr>
            <w:tcW w:w="3061" w:type="dxa"/>
            <w:tcMar/>
          </w:tcPr>
          <w:p w:rsidRPr="0000412A" w:rsidR="003B450A" w:rsidP="7EAC34F8" w:rsidRDefault="00CE6FA5" w14:paraId="0DD59F53" w14:textId="7A89FB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D693ACF">
              <w:rPr/>
              <w:t xml:space="preserve">Rinkliavos </w:t>
            </w:r>
            <w:r w:rsidR="7C6C3D43">
              <w:rPr/>
              <w:t>deklaracijų</w:t>
            </w:r>
            <w:r w:rsidR="7C6C3D43">
              <w:rPr/>
              <w:t xml:space="preserve"> </w:t>
            </w:r>
            <w:r w:rsidR="7C6C3D43">
              <w:rPr/>
              <w:t>paketų</w:t>
            </w:r>
            <w:r w:rsidR="7C6C3D43">
              <w:rPr/>
              <w:t xml:space="preserve">, </w:t>
            </w:r>
            <w:r w:rsidR="7C6C3D43">
              <w:rPr/>
              <w:t>kuriuos</w:t>
            </w:r>
            <w:r w:rsidR="7C6C3D43">
              <w:rPr/>
              <w:t xml:space="preserve"> </w:t>
            </w:r>
            <w:r w:rsidR="12268651">
              <w:rPr/>
              <w:t>EERP</w:t>
            </w:r>
            <w:r w:rsidR="12268651">
              <w:rPr/>
              <w:t xml:space="preserve"> </w:t>
            </w:r>
            <w:r w:rsidR="7C6C3D43">
              <w:rPr/>
              <w:t>teikėjas</w:t>
            </w:r>
            <w:r w:rsidR="7C6C3D43">
              <w:rPr/>
              <w:t xml:space="preserve"> </w:t>
            </w:r>
            <w:r w:rsidR="7C6C3D43">
              <w:rPr/>
              <w:t>perduoda</w:t>
            </w:r>
            <w:r w:rsidR="7C6C3D43">
              <w:rPr/>
              <w:t xml:space="preserve"> </w:t>
            </w:r>
            <w:r w:rsidR="7C6C3D43">
              <w:rPr/>
              <w:t>mokesčių</w:t>
            </w:r>
            <w:r w:rsidR="7C6C3D43">
              <w:rPr/>
              <w:t xml:space="preserve"> </w:t>
            </w:r>
            <w:r w:rsidR="7C6C3D43">
              <w:rPr/>
              <w:t>rinkėjui</w:t>
            </w:r>
            <w:r w:rsidR="7C6C3D43">
              <w:rPr/>
              <w:t xml:space="preserve"> per </w:t>
            </w:r>
            <w:r w:rsidR="64EAA26D">
              <w:rPr/>
              <w:t xml:space="preserve">24 </w:t>
            </w:r>
            <w:r w:rsidR="64EAA26D">
              <w:rPr/>
              <w:t>valandas</w:t>
            </w:r>
            <w:r w:rsidR="7C6C3D43">
              <w:rPr/>
              <w:t xml:space="preserve"> </w:t>
            </w:r>
            <w:r w:rsidR="7C6C3D43">
              <w:rPr/>
              <w:t>nuo</w:t>
            </w:r>
            <w:r w:rsidR="7C6C3D43">
              <w:rPr/>
              <w:t xml:space="preserve"> </w:t>
            </w:r>
            <w:r w:rsidR="7C6C3D43">
              <w:rPr/>
              <w:t>duomenų</w:t>
            </w:r>
            <w:r w:rsidR="7C6C3D43">
              <w:rPr/>
              <w:t xml:space="preserve"> </w:t>
            </w:r>
            <w:r w:rsidR="7C6C3D43">
              <w:rPr/>
              <w:t>įrašymo</w:t>
            </w:r>
            <w:r w:rsidR="7C6C3D43">
              <w:rPr/>
              <w:t xml:space="preserve"> į </w:t>
            </w:r>
            <w:r w:rsidR="2A17D4C5">
              <w:rPr/>
              <w:t>TPMĮ</w:t>
            </w:r>
            <w:r w:rsidR="7C6C3D43">
              <w:rPr/>
              <w:t xml:space="preserve"> </w:t>
            </w:r>
            <w:r w:rsidR="7C6C3D43">
              <w:rPr/>
              <w:t>datos</w:t>
            </w:r>
            <w:r w:rsidR="7C6C3D43">
              <w:rPr/>
              <w:t xml:space="preserve">, </w:t>
            </w:r>
            <w:r w:rsidR="7C6C3D43">
              <w:rPr/>
              <w:t>procentinė</w:t>
            </w:r>
            <w:r w:rsidR="7C6C3D43">
              <w:rPr/>
              <w:t xml:space="preserve"> </w:t>
            </w:r>
            <w:r w:rsidR="7C6C3D43">
              <w:rPr/>
              <w:t>dalis</w:t>
            </w:r>
            <w:r w:rsidR="7C6C3D43">
              <w:rPr/>
              <w:t>.</w:t>
            </w:r>
          </w:p>
        </w:tc>
        <w:tc>
          <w:tcPr>
            <w:tcW w:w="1645" w:type="dxa"/>
            <w:tcMar/>
          </w:tcPr>
          <w:p w:rsidRPr="0000412A" w:rsidR="003B450A" w:rsidP="00541688" w:rsidRDefault="00535EA8" w14:paraId="574DD877" w14:textId="6594D7F0">
            <w:r>
              <w:t>97,</w:t>
            </w:r>
            <w:r w:rsidRPr="0000412A" w:rsidR="00645DBB">
              <w:t>5 %</w:t>
            </w:r>
          </w:p>
        </w:tc>
        <w:tc>
          <w:tcPr>
            <w:tcW w:w="1379" w:type="dxa"/>
            <w:tcMar/>
          </w:tcPr>
          <w:p w:rsidRPr="0000412A" w:rsidR="003B450A" w:rsidP="00541688" w:rsidRDefault="00645DBB" w14:paraId="6076389A" w14:textId="65E7C4B7">
            <w:r w:rsidRPr="0000412A">
              <w:t>Kas mėnesį</w:t>
            </w:r>
          </w:p>
        </w:tc>
      </w:tr>
      <w:tr w:rsidR="00C20778" w:rsidTr="7EAC34F8" w14:paraId="4103FFE4" w14:textId="77777777">
        <w:tc>
          <w:tcPr>
            <w:tcW w:w="1731" w:type="dxa"/>
            <w:tcMar/>
          </w:tcPr>
          <w:p w:rsidRPr="0000412A" w:rsidR="00C20778" w:rsidP="00C20778" w:rsidRDefault="00C20778" w14:paraId="1A3C4E6D" w14:textId="671D477B">
            <w:r w:rsidRPr="0000412A">
              <w:t>KPI_GNSS2</w:t>
            </w:r>
          </w:p>
        </w:tc>
        <w:tc>
          <w:tcPr>
            <w:tcW w:w="1720" w:type="dxa"/>
            <w:tcMar/>
          </w:tcPr>
          <w:p w:rsidRPr="0000412A" w:rsidR="00C20778" w:rsidP="7EAC34F8" w:rsidRDefault="00C20778" w14:paraId="0886E56D" w14:textId="0F8576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2F7CA2D">
              <w:rPr/>
              <w:t xml:space="preserve">Rinkliavos </w:t>
            </w:r>
            <w:r w:rsidR="7B58092D">
              <w:rPr/>
              <w:t>deklaracijų</w:t>
            </w:r>
            <w:r w:rsidR="7B58092D">
              <w:rPr/>
              <w:t xml:space="preserve"> </w:t>
            </w:r>
            <w:r w:rsidR="7B58092D">
              <w:rPr/>
              <w:t>pateikimo</w:t>
            </w:r>
            <w:r w:rsidR="7B58092D">
              <w:rPr/>
              <w:t xml:space="preserve"> </w:t>
            </w:r>
            <w:r w:rsidR="7B58092D">
              <w:rPr/>
              <w:t>laik</w:t>
            </w:r>
            <w:r w:rsidR="3B997D70">
              <w:rPr/>
              <w:t>o</w:t>
            </w:r>
            <w:r w:rsidR="7B58092D">
              <w:rPr/>
              <w:t xml:space="preserve"> </w:t>
            </w:r>
            <w:r w:rsidR="7B58092D">
              <w:rPr/>
              <w:t>rodiklis</w:t>
            </w:r>
            <w:r w:rsidR="7B58092D">
              <w:rPr/>
              <w:t xml:space="preserve"> – </w:t>
            </w:r>
            <w:r w:rsidR="7B58092D">
              <w:rPr/>
              <w:t>ilgas</w:t>
            </w:r>
            <w:r w:rsidR="7B58092D">
              <w:rPr/>
              <w:t xml:space="preserve"> </w:t>
            </w:r>
            <w:r w:rsidR="7B58092D">
              <w:rPr/>
              <w:t>laikotarpis</w:t>
            </w:r>
          </w:p>
          <w:p w:rsidRPr="0000412A" w:rsidR="00C20778" w:rsidP="00C20778" w:rsidRDefault="00C20778" w14:paraId="16995E67" w14:textId="77777777"/>
        </w:tc>
        <w:tc>
          <w:tcPr>
            <w:tcW w:w="3061" w:type="dxa"/>
            <w:tcMar/>
          </w:tcPr>
          <w:p w:rsidRPr="0000412A" w:rsidR="00C20778" w:rsidP="7EAC34F8" w:rsidRDefault="00645DBB" w14:paraId="14C74EBE" w14:textId="5DB506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C00F3DB">
              <w:rPr/>
              <w:t xml:space="preserve">Rinkliavos </w:t>
            </w:r>
            <w:r w:rsidR="21F74487">
              <w:rPr/>
              <w:t>deklaracijų</w:t>
            </w:r>
            <w:r w:rsidR="21F74487">
              <w:rPr/>
              <w:t xml:space="preserve"> </w:t>
            </w:r>
            <w:r w:rsidR="21F74487">
              <w:rPr/>
              <w:t>paketų</w:t>
            </w:r>
            <w:r w:rsidR="21F74487">
              <w:rPr/>
              <w:t xml:space="preserve">, </w:t>
            </w:r>
            <w:r w:rsidR="21F74487">
              <w:rPr/>
              <w:t>kuriuos</w:t>
            </w:r>
            <w:r w:rsidR="21F74487">
              <w:rPr/>
              <w:t xml:space="preserve"> </w:t>
            </w:r>
            <w:r w:rsidR="12268651">
              <w:rPr/>
              <w:t>EERP</w:t>
            </w:r>
            <w:r w:rsidR="12268651">
              <w:rPr/>
              <w:t xml:space="preserve"> </w:t>
            </w:r>
            <w:r w:rsidR="21F74487">
              <w:rPr/>
              <w:t>teikėjas</w:t>
            </w:r>
            <w:r w:rsidR="21F74487">
              <w:rPr/>
              <w:t xml:space="preserve"> </w:t>
            </w:r>
            <w:r w:rsidR="21F74487">
              <w:rPr/>
              <w:t>perdavė</w:t>
            </w:r>
            <w:r w:rsidR="21F74487">
              <w:rPr/>
              <w:t xml:space="preserve"> </w:t>
            </w:r>
            <w:r w:rsidR="21F74487">
              <w:rPr/>
              <w:t>mokesčių</w:t>
            </w:r>
            <w:r w:rsidR="21F74487">
              <w:rPr/>
              <w:t xml:space="preserve"> </w:t>
            </w:r>
            <w:r w:rsidR="21F74487">
              <w:rPr/>
              <w:t>rinkėjui</w:t>
            </w:r>
            <w:r w:rsidR="21F74487">
              <w:rPr/>
              <w:t xml:space="preserve"> per </w:t>
            </w:r>
            <w:r w:rsidR="64EAA26D">
              <w:rPr/>
              <w:t xml:space="preserve">72 </w:t>
            </w:r>
            <w:r w:rsidR="64EAA26D">
              <w:rPr/>
              <w:t>valandas</w:t>
            </w:r>
            <w:r w:rsidR="21F74487">
              <w:rPr/>
              <w:t xml:space="preserve"> </w:t>
            </w:r>
            <w:r w:rsidR="21F74487">
              <w:rPr/>
              <w:t>nuo</w:t>
            </w:r>
            <w:r w:rsidR="21F74487">
              <w:rPr/>
              <w:t xml:space="preserve"> </w:t>
            </w:r>
            <w:r w:rsidR="21F74487">
              <w:rPr/>
              <w:t>duomenų</w:t>
            </w:r>
            <w:r w:rsidR="21F74487">
              <w:rPr/>
              <w:t xml:space="preserve"> </w:t>
            </w:r>
            <w:r w:rsidR="21F74487">
              <w:rPr/>
              <w:t>įrašymo</w:t>
            </w:r>
            <w:r w:rsidR="21F74487">
              <w:rPr/>
              <w:t xml:space="preserve"> į </w:t>
            </w:r>
            <w:r w:rsidR="1020A24D">
              <w:rPr/>
              <w:t>TPMĮ</w:t>
            </w:r>
            <w:r w:rsidR="21F74487">
              <w:rPr/>
              <w:t xml:space="preserve"> </w:t>
            </w:r>
            <w:r w:rsidR="21F74487">
              <w:rPr/>
              <w:t>datos</w:t>
            </w:r>
            <w:r w:rsidR="21F74487">
              <w:rPr/>
              <w:t xml:space="preserve">, </w:t>
            </w:r>
            <w:r w:rsidR="21F74487">
              <w:rPr/>
              <w:t>procentinė</w:t>
            </w:r>
            <w:r w:rsidR="21F74487">
              <w:rPr/>
              <w:t xml:space="preserve"> </w:t>
            </w:r>
            <w:r w:rsidR="21F74487">
              <w:rPr/>
              <w:t>dalis</w:t>
            </w:r>
            <w:r w:rsidR="21F74487">
              <w:rPr/>
              <w:t>.</w:t>
            </w:r>
          </w:p>
        </w:tc>
        <w:tc>
          <w:tcPr>
            <w:tcW w:w="1645" w:type="dxa"/>
            <w:tcMar/>
          </w:tcPr>
          <w:p w:rsidRPr="0000412A" w:rsidR="00C20778" w:rsidP="00C20778" w:rsidRDefault="00BF401F" w14:paraId="3D2480C7" w14:textId="2FAFC011">
            <w:r w:rsidRPr="0000412A">
              <w:t>99,95 %</w:t>
            </w:r>
          </w:p>
        </w:tc>
        <w:tc>
          <w:tcPr>
            <w:tcW w:w="1379" w:type="dxa"/>
            <w:tcMar/>
          </w:tcPr>
          <w:p w:rsidRPr="0000412A" w:rsidR="00C20778" w:rsidP="00C20778" w:rsidRDefault="00645DBB" w14:paraId="3C6D1D26" w14:textId="40873C4A">
            <w:r w:rsidRPr="0000412A">
              <w:t>Kas mėnesį</w:t>
            </w:r>
          </w:p>
        </w:tc>
      </w:tr>
      <w:tr w:rsidR="00C20778" w:rsidTr="7EAC34F8" w14:paraId="5E49F150" w14:textId="77777777">
        <w:tc>
          <w:tcPr>
            <w:tcW w:w="1731" w:type="dxa"/>
            <w:tcMar/>
          </w:tcPr>
          <w:p w:rsidRPr="0000412A" w:rsidR="00C20778" w:rsidP="00C20778" w:rsidRDefault="00BF401F" w14:paraId="517C9370" w14:textId="4C240D00">
            <w:r w:rsidRPr="0000412A">
              <w:t>KPI_ANOMALY</w:t>
            </w:r>
          </w:p>
        </w:tc>
        <w:tc>
          <w:tcPr>
            <w:tcW w:w="1720" w:type="dxa"/>
            <w:tcMar/>
          </w:tcPr>
          <w:p w:rsidRPr="0000412A" w:rsidR="00C20778" w:rsidP="00C20778" w:rsidRDefault="00622BBB" w14:paraId="3330FFB6" w14:textId="0E629435">
            <w:r w:rsidRPr="0000412A">
              <w:t>OBE anomalijų aptikimas</w:t>
            </w:r>
          </w:p>
        </w:tc>
        <w:tc>
          <w:tcPr>
            <w:tcW w:w="3061" w:type="dxa"/>
            <w:tcMar/>
          </w:tcPr>
          <w:p w:rsidRPr="0000412A" w:rsidR="00C20778" w:rsidP="7EAC34F8" w:rsidRDefault="00622BBB" w14:paraId="79CEC2A7" w14:textId="331FE48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9C24338">
              <w:rPr/>
              <w:t>Atvejai</w:t>
            </w:r>
            <w:r w:rsidR="69C24338">
              <w:rPr/>
              <w:t xml:space="preserve">, kai </w:t>
            </w:r>
            <w:r w:rsidR="69C24338">
              <w:rPr/>
              <w:t>kelių</w:t>
            </w:r>
            <w:r w:rsidR="69C24338">
              <w:rPr/>
              <w:t xml:space="preserve"> </w:t>
            </w:r>
            <w:r w:rsidR="69C24338">
              <w:rPr/>
              <w:t>rinkliavos</w:t>
            </w:r>
            <w:r w:rsidR="69C24338">
              <w:rPr/>
              <w:t xml:space="preserve"> </w:t>
            </w:r>
            <w:r w:rsidR="69C24338">
              <w:rPr/>
              <w:t>rinkėjas</w:t>
            </w:r>
            <w:r w:rsidR="69C24338">
              <w:rPr/>
              <w:t>,</w:t>
            </w:r>
            <w:r w:rsidR="12268651">
              <w:rPr/>
              <w:t xml:space="preserve"> </w:t>
            </w:r>
            <w:r w:rsidR="62591C33">
              <w:rPr/>
              <w:t>naudodamas</w:t>
            </w:r>
            <w:r w:rsidR="62591C33">
              <w:rPr/>
              <w:t xml:space="preserve"> ANPR </w:t>
            </w:r>
            <w:r w:rsidR="62591C33">
              <w:rPr/>
              <w:t>sistemą</w:t>
            </w:r>
            <w:r w:rsidR="69C24338">
              <w:rPr/>
              <w:t>,</w:t>
            </w:r>
            <w:r w:rsidR="12268651">
              <w:rPr/>
              <w:t xml:space="preserve"> </w:t>
            </w:r>
            <w:r w:rsidR="12268651">
              <w:rPr/>
              <w:t>nustato</w:t>
            </w:r>
            <w:r w:rsidR="69C24338">
              <w:rPr/>
              <w:t xml:space="preserve">, </w:t>
            </w:r>
            <w:r w:rsidR="69C24338">
              <w:rPr/>
              <w:t>kad</w:t>
            </w:r>
            <w:r w:rsidR="69C24338">
              <w:rPr/>
              <w:t xml:space="preserve"> </w:t>
            </w:r>
            <w:r w:rsidR="69C24338">
              <w:rPr/>
              <w:t>kelių</w:t>
            </w:r>
            <w:r w:rsidR="69C24338">
              <w:rPr/>
              <w:t xml:space="preserve"> </w:t>
            </w:r>
            <w:r w:rsidR="69C24338">
              <w:rPr/>
              <w:t>kontrolės</w:t>
            </w:r>
            <w:r w:rsidR="69C24338">
              <w:rPr/>
              <w:t xml:space="preserve"> </w:t>
            </w:r>
            <w:r w:rsidR="69C24338">
              <w:rPr/>
              <w:t>punkte</w:t>
            </w:r>
            <w:r w:rsidR="69C24338">
              <w:rPr/>
              <w:t xml:space="preserve"> </w:t>
            </w:r>
            <w:r w:rsidR="69C24338">
              <w:rPr/>
              <w:t>pravažiuoja</w:t>
            </w:r>
            <w:r w:rsidR="69C24338">
              <w:rPr/>
              <w:t xml:space="preserve"> </w:t>
            </w:r>
            <w:r w:rsidR="69C24338">
              <w:rPr/>
              <w:t>transporto</w:t>
            </w:r>
            <w:r w:rsidR="69C24338">
              <w:rPr/>
              <w:t xml:space="preserve"> </w:t>
            </w:r>
            <w:r w:rsidR="69C24338">
              <w:rPr/>
              <w:t>priemonė</w:t>
            </w:r>
            <w:r w:rsidR="12268651">
              <w:rPr/>
              <w:t xml:space="preserve"> </w:t>
            </w:r>
            <w:r w:rsidR="12268651">
              <w:rPr/>
              <w:t>esanti</w:t>
            </w:r>
            <w:r w:rsidR="12268651">
              <w:rPr/>
              <w:t xml:space="preserve"> </w:t>
            </w:r>
            <w:r w:rsidR="35504B56">
              <w:rPr/>
              <w:t>prieigos</w:t>
            </w:r>
            <w:r w:rsidR="35504B56">
              <w:rPr/>
              <w:t xml:space="preserve"> </w:t>
            </w:r>
            <w:r w:rsidR="12268651">
              <w:rPr/>
              <w:t>s</w:t>
            </w:r>
            <w:r w:rsidRPr="7EAC34F8" w:rsidR="12268651">
              <w:rPr>
                <w:lang w:val="lt-LT"/>
              </w:rPr>
              <w:t>ąraše</w:t>
            </w:r>
            <w:r w:rsidR="69C24338">
              <w:rPr/>
              <w:t xml:space="preserve">, </w:t>
            </w:r>
            <w:r w:rsidR="69C24338">
              <w:rPr/>
              <w:t>tačiau</w:t>
            </w:r>
            <w:r w:rsidR="69C24338">
              <w:rPr/>
              <w:t xml:space="preserve"> </w:t>
            </w:r>
            <w:r w:rsidR="69C24338">
              <w:rPr/>
              <w:t>iš</w:t>
            </w:r>
            <w:r w:rsidR="69C24338">
              <w:rPr/>
              <w:t xml:space="preserve"> </w:t>
            </w:r>
            <w:r w:rsidR="12268651">
              <w:rPr/>
              <w:t>EERP</w:t>
            </w:r>
            <w:r w:rsidR="12268651">
              <w:rPr/>
              <w:t xml:space="preserve"> </w:t>
            </w:r>
            <w:r w:rsidR="69C24338">
              <w:rPr/>
              <w:t>teikėjo</w:t>
            </w:r>
            <w:r w:rsidR="69C24338">
              <w:rPr/>
              <w:t xml:space="preserve"> </w:t>
            </w:r>
            <w:r w:rsidR="69C24338">
              <w:rPr/>
              <w:t>negavo</w:t>
            </w:r>
            <w:r w:rsidR="69C24338">
              <w:rPr/>
              <w:t xml:space="preserve"> </w:t>
            </w:r>
            <w:r w:rsidR="69C24338">
              <w:rPr/>
              <w:t>kelių</w:t>
            </w:r>
            <w:r w:rsidR="69C24338">
              <w:rPr/>
              <w:t xml:space="preserve"> </w:t>
            </w:r>
            <w:r w:rsidR="69C24338">
              <w:rPr/>
              <w:t>rinkliavos</w:t>
            </w:r>
            <w:r w:rsidR="69C24338">
              <w:rPr/>
              <w:t xml:space="preserve"> </w:t>
            </w:r>
            <w:r w:rsidR="69C24338">
              <w:rPr/>
              <w:t>deklaracijos</w:t>
            </w:r>
            <w:r w:rsidR="12268651">
              <w:rPr/>
              <w:t xml:space="preserve"> </w:t>
            </w:r>
            <w:r w:rsidR="51B9D044">
              <w:rPr/>
              <w:t xml:space="preserve">per </w:t>
            </w:r>
            <w:r w:rsidR="64EAA26D">
              <w:rPr/>
              <w:t xml:space="preserve">24 </w:t>
            </w:r>
            <w:r w:rsidR="64EAA26D">
              <w:rPr/>
              <w:t>valandas</w:t>
            </w:r>
            <w:r w:rsidR="51B9D044">
              <w:rPr/>
              <w:t xml:space="preserve"> </w:t>
            </w:r>
            <w:r w:rsidR="51B9D044">
              <w:rPr/>
              <w:t>nuo</w:t>
            </w:r>
            <w:r w:rsidR="51B9D044">
              <w:rPr/>
              <w:t xml:space="preserve"> </w:t>
            </w:r>
            <w:r w:rsidR="51B9D044">
              <w:rPr/>
              <w:t>duomenų</w:t>
            </w:r>
            <w:r w:rsidR="51B9D044">
              <w:rPr/>
              <w:t xml:space="preserve"> </w:t>
            </w:r>
            <w:r w:rsidR="51B9D044">
              <w:rPr/>
              <w:t>įrašymo</w:t>
            </w:r>
            <w:r w:rsidR="51B9D044">
              <w:rPr/>
              <w:t xml:space="preserve"> į </w:t>
            </w:r>
            <w:r w:rsidR="6BC68C00">
              <w:rPr/>
              <w:t>TPMĮ</w:t>
            </w:r>
            <w:r w:rsidR="51B9D044">
              <w:rPr/>
              <w:t>,</w:t>
            </w:r>
            <w:r w:rsidR="51B9D044">
              <w:rPr/>
              <w:t xml:space="preserve"> </w:t>
            </w:r>
            <w:r w:rsidR="69C24338">
              <w:rPr/>
              <w:t>kurią</w:t>
            </w:r>
            <w:r w:rsidR="69C24338">
              <w:rPr/>
              <w:t xml:space="preserve"> </w:t>
            </w:r>
            <w:r w:rsidR="69C24338">
              <w:rPr/>
              <w:t>būtų</w:t>
            </w:r>
            <w:r w:rsidR="69C24338">
              <w:rPr/>
              <w:t xml:space="preserve"> </w:t>
            </w:r>
            <w:r w:rsidR="69C24338">
              <w:rPr/>
              <w:t>galima</w:t>
            </w:r>
            <w:r w:rsidR="69C24338">
              <w:rPr/>
              <w:t xml:space="preserve"> </w:t>
            </w:r>
            <w:r w:rsidR="69C24338">
              <w:rPr/>
              <w:t>susieti</w:t>
            </w:r>
            <w:r w:rsidR="69C24338">
              <w:rPr/>
              <w:t xml:space="preserve"> </w:t>
            </w:r>
            <w:r w:rsidR="69C24338">
              <w:rPr/>
              <w:t>su</w:t>
            </w:r>
            <w:r w:rsidR="69C24338">
              <w:rPr/>
              <w:t xml:space="preserve"> </w:t>
            </w:r>
            <w:r w:rsidR="69C24338">
              <w:rPr/>
              <w:t>kontroliuojamu</w:t>
            </w:r>
            <w:r w:rsidR="69C24338">
              <w:rPr/>
              <w:t xml:space="preserve"> </w:t>
            </w:r>
            <w:r w:rsidR="69C24338">
              <w:rPr/>
              <w:t>kelio</w:t>
            </w:r>
            <w:r w:rsidR="69C24338">
              <w:rPr/>
              <w:t xml:space="preserve"> </w:t>
            </w:r>
            <w:r w:rsidR="69C24338">
              <w:rPr/>
              <w:t>ruožu</w:t>
            </w:r>
            <w:r w:rsidR="69C24338">
              <w:rPr/>
              <w:t>.</w:t>
            </w:r>
          </w:p>
        </w:tc>
        <w:tc>
          <w:tcPr>
            <w:tcW w:w="1645" w:type="dxa"/>
            <w:tcMar/>
          </w:tcPr>
          <w:p w:rsidRPr="0000412A" w:rsidR="00C20778" w:rsidP="00C20778" w:rsidRDefault="005F1B4F" w14:paraId="0C0E8332" w14:textId="54DB34E8">
            <w:r>
              <w:t>0,1 %</w:t>
            </w:r>
          </w:p>
        </w:tc>
        <w:tc>
          <w:tcPr>
            <w:tcW w:w="1379" w:type="dxa"/>
            <w:tcMar/>
          </w:tcPr>
          <w:p w:rsidRPr="0000412A" w:rsidR="00C20778" w:rsidP="00C20778" w:rsidRDefault="005F1B4F" w14:paraId="23CBD8D4" w14:textId="751DAEC4">
            <w:r>
              <w:t>Kas mėnesį</w:t>
            </w:r>
          </w:p>
        </w:tc>
      </w:tr>
      <w:tr w:rsidR="00C20778" w:rsidTr="7EAC34F8" w14:paraId="17CC2641" w14:textId="77777777">
        <w:tc>
          <w:tcPr>
            <w:tcW w:w="1731" w:type="dxa"/>
            <w:tcMar/>
          </w:tcPr>
          <w:p w:rsidRPr="0000412A" w:rsidR="00C20778" w:rsidP="00C20778" w:rsidRDefault="00981227" w14:paraId="55BB8206" w14:textId="1E13892D">
            <w:r>
              <w:t>KPI_</w:t>
            </w:r>
            <w:r w:rsidR="001B1B4E">
              <w:t>TD</w:t>
            </w:r>
          </w:p>
        </w:tc>
        <w:tc>
          <w:tcPr>
            <w:tcW w:w="1720" w:type="dxa"/>
            <w:tcMar/>
          </w:tcPr>
          <w:p w:rsidRPr="0000412A" w:rsidR="00C20778" w:rsidP="00C20778" w:rsidRDefault="00C24CB4" w14:paraId="1577F29B" w14:textId="06B735CF">
            <w:r>
              <w:t>Rinkliavos</w:t>
            </w:r>
            <w:r w:rsidRPr="001B1B4E">
              <w:t xml:space="preserve"> </w:t>
            </w:r>
            <w:r w:rsidRPr="001B1B4E" w:rsidR="001B1B4E">
              <w:t>deklaracijų duomenų formato kokybė</w:t>
            </w:r>
          </w:p>
        </w:tc>
        <w:tc>
          <w:tcPr>
            <w:tcW w:w="3061" w:type="dxa"/>
            <w:tcMar/>
          </w:tcPr>
          <w:p w:rsidRPr="0000412A" w:rsidR="00C20778" w:rsidP="00C20778" w:rsidRDefault="00FC336E" w14:paraId="35A2D04B" w14:textId="38A2C039">
            <w:r>
              <w:t>EERP</w:t>
            </w:r>
            <w:r w:rsidRPr="001B1B4E">
              <w:t xml:space="preserve"> </w:t>
            </w:r>
            <w:r w:rsidRPr="001B1B4E" w:rsidR="001B1B4E">
              <w:t>teikėjo kelių rinkliavos rinkėjui perduotų kelių rinkliavos deklaracijų paketų, kurie turi atitikti duomenų formatų ir ADU reikalavimus, procentinė dalis.</w:t>
            </w:r>
          </w:p>
        </w:tc>
        <w:tc>
          <w:tcPr>
            <w:tcW w:w="1645" w:type="dxa"/>
            <w:tcMar/>
          </w:tcPr>
          <w:p w:rsidRPr="0000412A" w:rsidR="00C20778" w:rsidP="00C20778" w:rsidRDefault="00071E5B" w14:paraId="421D98A0" w14:textId="10FE42B5">
            <w:r>
              <w:t>99,99 %</w:t>
            </w:r>
          </w:p>
        </w:tc>
        <w:tc>
          <w:tcPr>
            <w:tcW w:w="1379" w:type="dxa"/>
            <w:tcMar/>
          </w:tcPr>
          <w:p w:rsidRPr="0000412A" w:rsidR="00C20778" w:rsidP="00C20778" w:rsidRDefault="00071E5B" w14:paraId="047501A1" w14:textId="7136EE9F">
            <w:r>
              <w:t>Kas mėnesį</w:t>
            </w:r>
          </w:p>
        </w:tc>
      </w:tr>
      <w:tr w:rsidR="00071E5B" w:rsidTr="7EAC34F8" w14:paraId="5AFE6E64" w14:textId="77777777">
        <w:tc>
          <w:tcPr>
            <w:tcW w:w="1731" w:type="dxa"/>
            <w:tcMar/>
          </w:tcPr>
          <w:p w:rsidR="00071E5B" w:rsidP="00C20778" w:rsidRDefault="00F91CA2" w14:paraId="6175A100" w14:textId="741B06B6">
            <w:r>
              <w:t>KPI_WL</w:t>
            </w:r>
          </w:p>
        </w:tc>
        <w:tc>
          <w:tcPr>
            <w:tcW w:w="1720" w:type="dxa"/>
            <w:tcMar/>
          </w:tcPr>
          <w:p w:rsidRPr="001B1B4E" w:rsidR="00071E5B" w:rsidP="00C20778" w:rsidRDefault="003C5B43" w14:paraId="78AE6662" w14:textId="6E537D1B">
            <w:r>
              <w:t xml:space="preserve">Prieigos </w:t>
            </w:r>
            <w:r w:rsidR="000A320E">
              <w:t>sąrašų duomenų kokybė</w:t>
            </w:r>
          </w:p>
        </w:tc>
        <w:tc>
          <w:tcPr>
            <w:tcW w:w="3061" w:type="dxa"/>
            <w:tcMar/>
          </w:tcPr>
          <w:p w:rsidR="00071E5B" w:rsidP="00C20778" w:rsidRDefault="000A320E" w14:paraId="559ABCFB" w14:textId="485F89D6">
            <w:r w:rsidRPr="00305E94">
              <w:t xml:space="preserve">Atvejai, kai rinkliavos rinkėjas </w:t>
            </w:r>
            <w:r>
              <w:t xml:space="preserve">gauna </w:t>
            </w:r>
            <w:r w:rsidR="001E45C7">
              <w:t xml:space="preserve">rinkliavos deklaraciją už transporto priemonę, kurios nėra  </w:t>
            </w:r>
            <w:r w:rsidR="003C5B43">
              <w:t xml:space="preserve">prieigos </w:t>
            </w:r>
            <w:r w:rsidR="001E45C7">
              <w:t>sąraše</w:t>
            </w:r>
            <w:r w:rsidR="00BF66A4">
              <w:t xml:space="preserve"> pateiktame anksčiau nei prieš 24 valandas</w:t>
            </w:r>
            <w:r w:rsidR="003C5B43">
              <w:t>.</w:t>
            </w:r>
          </w:p>
        </w:tc>
        <w:tc>
          <w:tcPr>
            <w:tcW w:w="1645" w:type="dxa"/>
            <w:tcMar/>
          </w:tcPr>
          <w:p w:rsidR="00CA5D52" w:rsidP="00C20778" w:rsidRDefault="00BF66A4" w14:paraId="2C50BAEF" w14:textId="2A611B47">
            <w:r>
              <w:t>0,1 %</w:t>
            </w:r>
          </w:p>
        </w:tc>
        <w:tc>
          <w:tcPr>
            <w:tcW w:w="1379" w:type="dxa"/>
            <w:tcMar/>
          </w:tcPr>
          <w:p w:rsidR="00071E5B" w:rsidP="00C20778" w:rsidRDefault="00F91CA2" w14:paraId="30201CD2" w14:textId="2D4BA2A1">
            <w:r>
              <w:t>Kas mėnesį</w:t>
            </w:r>
          </w:p>
        </w:tc>
      </w:tr>
      <w:tr w:rsidR="007B5618" w:rsidTr="7EAC34F8" w14:paraId="0E3881CA" w14:textId="77777777">
        <w:tc>
          <w:tcPr>
            <w:tcW w:w="1731" w:type="dxa"/>
            <w:tcMar/>
          </w:tcPr>
          <w:p w:rsidR="007B5618" w:rsidP="00C20778" w:rsidRDefault="007B5618" w14:paraId="649548DB" w14:textId="4E5ABDA5">
            <w:r>
              <w:t>KPI_BL</w:t>
            </w:r>
          </w:p>
        </w:tc>
        <w:tc>
          <w:tcPr>
            <w:tcW w:w="1720" w:type="dxa"/>
            <w:tcMar/>
          </w:tcPr>
          <w:p w:rsidRPr="007B5618" w:rsidR="007B5618" w:rsidP="00C20778" w:rsidRDefault="003C5B43" w14:paraId="4E18DD83" w14:textId="43C2CBA1">
            <w:pPr>
              <w:rPr>
                <w:lang w:val="lt-LT"/>
              </w:rPr>
            </w:pPr>
            <w:r>
              <w:t>Blokavimo</w:t>
            </w:r>
            <w:r>
              <w:rPr>
                <w:lang w:val="lt-LT"/>
              </w:rPr>
              <w:t xml:space="preserve"> </w:t>
            </w:r>
            <w:r w:rsidR="007B5618">
              <w:rPr>
                <w:lang w:val="lt-LT"/>
              </w:rPr>
              <w:t>sąrašų duomenų kokybė</w:t>
            </w:r>
          </w:p>
        </w:tc>
        <w:tc>
          <w:tcPr>
            <w:tcW w:w="3061" w:type="dxa"/>
            <w:tcMar/>
          </w:tcPr>
          <w:p w:rsidRPr="00305E94" w:rsidR="007B5618" w:rsidP="00C20778" w:rsidRDefault="007B5618" w14:paraId="2AF6D045" w14:textId="2D12B8BE">
            <w:r>
              <w:t xml:space="preserve">Atvejai, kai rinkliavos rinkėjas gauna rikliavos deklaraciją už transport priemonę, esančią </w:t>
            </w:r>
            <w:r w:rsidR="003C5B43">
              <w:t xml:space="preserve">blokavimo </w:t>
            </w:r>
            <w:r>
              <w:t>sąraše</w:t>
            </w:r>
            <w:r w:rsidR="003C5B43">
              <w:t>.</w:t>
            </w:r>
          </w:p>
        </w:tc>
        <w:tc>
          <w:tcPr>
            <w:tcW w:w="1645" w:type="dxa"/>
            <w:tcMar/>
          </w:tcPr>
          <w:p w:rsidRPr="007B5618" w:rsidR="007B5618" w:rsidP="00C20778" w:rsidRDefault="007B5618" w14:paraId="59A0AD33" w14:textId="383E9D39">
            <w:pPr>
              <w:rPr>
                <w:lang w:val="en-US"/>
              </w:rPr>
            </w:pPr>
            <w:r>
              <w:t xml:space="preserve">0,01 </w:t>
            </w:r>
            <w:r>
              <w:rPr>
                <w:lang w:val="en-US"/>
              </w:rPr>
              <w:t>%</w:t>
            </w:r>
          </w:p>
        </w:tc>
        <w:tc>
          <w:tcPr>
            <w:tcW w:w="1379" w:type="dxa"/>
            <w:tcMar/>
          </w:tcPr>
          <w:p w:rsidRPr="007B5618" w:rsidR="007B5618" w:rsidP="00C20778" w:rsidRDefault="007B5618" w14:paraId="042157F8" w14:textId="083A2518">
            <w:pPr>
              <w:rPr>
                <w:lang w:val="lt-LT"/>
              </w:rPr>
            </w:pPr>
            <w:r>
              <w:t>Kas mėnes</w:t>
            </w:r>
            <w:r>
              <w:rPr>
                <w:lang w:val="lt-LT"/>
              </w:rPr>
              <w:t>į</w:t>
            </w:r>
          </w:p>
        </w:tc>
      </w:tr>
      <w:tr w:rsidR="7EAC34F8" w:rsidTr="7EAC34F8" w14:paraId="309D105A">
        <w:trPr>
          <w:trHeight w:val="300"/>
        </w:trPr>
        <w:tc>
          <w:tcPr>
            <w:tcW w:w="1731" w:type="dxa"/>
            <w:tcMar/>
          </w:tcPr>
          <w:p w:rsidR="48B738B4" w:rsidP="7EAC34F8" w:rsidRDefault="48B738B4" w14:paraId="7A2B6425" w14:textId="1FCB71B3">
            <w:pPr>
              <w:pStyle w:val="Normal"/>
            </w:pPr>
            <w:r w:rsidR="48B738B4">
              <w:rPr/>
              <w:t>KPI_LST</w:t>
            </w:r>
          </w:p>
        </w:tc>
        <w:tc>
          <w:tcPr>
            <w:tcW w:w="1720" w:type="dxa"/>
            <w:tcMar/>
          </w:tcPr>
          <w:p w:rsidR="48B738B4" w:rsidP="7EAC34F8" w:rsidRDefault="48B738B4" w14:paraId="6627BE23" w14:textId="0FE981F7">
            <w:pPr>
              <w:pStyle w:val="Normal"/>
            </w:pPr>
            <w:r w:rsidR="48B738B4">
              <w:rPr/>
              <w:t>Prieigos</w:t>
            </w:r>
            <w:r w:rsidR="48B738B4">
              <w:rPr/>
              <w:t xml:space="preserve"> </w:t>
            </w:r>
            <w:r w:rsidR="48B738B4">
              <w:rPr/>
              <w:t>ir</w:t>
            </w:r>
            <w:r w:rsidR="48B738B4">
              <w:rPr/>
              <w:t xml:space="preserve"> </w:t>
            </w:r>
            <w:r w:rsidR="48B738B4">
              <w:rPr/>
              <w:t>blokavimo</w:t>
            </w:r>
            <w:r w:rsidR="48B738B4">
              <w:rPr/>
              <w:t xml:space="preserve"> </w:t>
            </w:r>
            <w:r w:rsidR="48B738B4">
              <w:rPr/>
              <w:t>sąrašų</w:t>
            </w:r>
            <w:r w:rsidR="48B738B4">
              <w:rPr/>
              <w:t xml:space="preserve"> </w:t>
            </w:r>
            <w:r w:rsidR="48B738B4">
              <w:rPr/>
              <w:t>savalaikis</w:t>
            </w:r>
            <w:r w:rsidR="48B738B4">
              <w:rPr/>
              <w:t xml:space="preserve"> </w:t>
            </w:r>
            <w:r w:rsidR="48B738B4">
              <w:rPr/>
              <w:t>teikimas</w:t>
            </w:r>
          </w:p>
        </w:tc>
        <w:tc>
          <w:tcPr>
            <w:tcW w:w="3061" w:type="dxa"/>
            <w:tcMar/>
          </w:tcPr>
          <w:p w:rsidR="50187981" w:rsidP="7EAC34F8" w:rsidRDefault="50187981" w14:paraId="59CBA4DA" w14:textId="310D39F2">
            <w:pPr>
              <w:pStyle w:val="Normal"/>
            </w:pPr>
            <w:r w:rsidR="50187981">
              <w:rPr/>
              <w:t>Atvejai</w:t>
            </w:r>
            <w:r w:rsidR="50187981">
              <w:rPr/>
              <w:t xml:space="preserve">, kai </w:t>
            </w:r>
            <w:r w:rsidR="50187981">
              <w:rPr/>
              <w:t>prieigos</w:t>
            </w:r>
            <w:r w:rsidR="50187981">
              <w:rPr/>
              <w:t xml:space="preserve"> </w:t>
            </w:r>
            <w:r w:rsidR="50187981">
              <w:rPr/>
              <w:t>ir</w:t>
            </w:r>
            <w:r w:rsidR="50187981">
              <w:rPr/>
              <w:t xml:space="preserve"> </w:t>
            </w:r>
            <w:r w:rsidR="50187981">
              <w:rPr/>
              <w:t>blokavimo</w:t>
            </w:r>
            <w:r w:rsidR="50187981">
              <w:rPr/>
              <w:t xml:space="preserve"> </w:t>
            </w:r>
            <w:r w:rsidR="50187981">
              <w:rPr/>
              <w:t>sąrašai</w:t>
            </w:r>
            <w:r w:rsidR="50187981">
              <w:rPr/>
              <w:t xml:space="preserve"> </w:t>
            </w:r>
            <w:r w:rsidR="50187981">
              <w:rPr/>
              <w:t>yra</w:t>
            </w:r>
            <w:r w:rsidR="50187981">
              <w:rPr/>
              <w:t xml:space="preserve"> </w:t>
            </w:r>
            <w:r w:rsidR="50187981">
              <w:rPr/>
              <w:t>pateikiami</w:t>
            </w:r>
            <w:r w:rsidR="50187981">
              <w:rPr/>
              <w:t xml:space="preserve"> </w:t>
            </w:r>
            <w:r w:rsidR="50187981">
              <w:rPr/>
              <w:t>kartą</w:t>
            </w:r>
            <w:r w:rsidR="50187981">
              <w:rPr/>
              <w:t xml:space="preserve"> į 24 </w:t>
            </w:r>
            <w:r w:rsidR="50187981">
              <w:rPr/>
              <w:t>valandas</w:t>
            </w:r>
          </w:p>
        </w:tc>
        <w:tc>
          <w:tcPr>
            <w:tcW w:w="1645" w:type="dxa"/>
            <w:tcMar/>
          </w:tcPr>
          <w:p w:rsidR="50187981" w:rsidP="7EAC34F8" w:rsidRDefault="50187981" w14:paraId="4FBE6C35" w14:textId="54D05808">
            <w:pPr>
              <w:pStyle w:val="Normal"/>
            </w:pPr>
            <w:r w:rsidR="50187981">
              <w:rPr/>
              <w:t>100 %</w:t>
            </w:r>
          </w:p>
        </w:tc>
        <w:tc>
          <w:tcPr>
            <w:tcW w:w="1379" w:type="dxa"/>
            <w:tcMar/>
          </w:tcPr>
          <w:p w:rsidR="50187981" w:rsidP="7EAC34F8" w:rsidRDefault="50187981" w14:paraId="272D051B" w14:textId="290F7776">
            <w:pPr>
              <w:pStyle w:val="Normal"/>
            </w:pPr>
            <w:r w:rsidR="50187981">
              <w:rPr/>
              <w:t xml:space="preserve">Kas </w:t>
            </w:r>
            <w:r w:rsidR="50187981">
              <w:rPr/>
              <w:t>mėnesį</w:t>
            </w:r>
          </w:p>
        </w:tc>
      </w:tr>
      <w:tr w:rsidR="00CB1DE1" w:rsidTr="7EAC34F8" w14:paraId="2344D018" w14:textId="77777777">
        <w:tc>
          <w:tcPr>
            <w:tcW w:w="1731" w:type="dxa"/>
            <w:tcMar/>
          </w:tcPr>
          <w:p w:rsidR="00CB1DE1" w:rsidP="00CB1DE1" w:rsidRDefault="00CB1DE1" w14:paraId="5B9E65F1" w14:textId="5A4D455D">
            <w:r>
              <w:t>KPI_AV</w:t>
            </w:r>
          </w:p>
        </w:tc>
        <w:tc>
          <w:tcPr>
            <w:tcW w:w="1720" w:type="dxa"/>
            <w:tcMar/>
          </w:tcPr>
          <w:p w:rsidR="00CB1DE1" w:rsidP="00CB1DE1" w:rsidRDefault="00FC336E" w14:paraId="66B9AAC9" w14:textId="453D71EE">
            <w:r>
              <w:t xml:space="preserve">EERP </w:t>
            </w:r>
            <w:r w:rsidR="00CB1DE1">
              <w:t>teikėjo sistemos prieinamumas</w:t>
            </w:r>
          </w:p>
        </w:tc>
        <w:tc>
          <w:tcPr>
            <w:tcW w:w="3061" w:type="dxa"/>
            <w:tcMar/>
          </w:tcPr>
          <w:p w:rsidRPr="00305E94" w:rsidR="00CB1DE1" w:rsidP="00CB1DE1" w:rsidRDefault="00FC336E" w14:paraId="7BD9D1DC" w14:textId="4D3AC29B">
            <w:r>
              <w:t>EERP</w:t>
            </w:r>
            <w:r w:rsidRPr="00100FC6">
              <w:t xml:space="preserve"> </w:t>
            </w:r>
            <w:r w:rsidRPr="00100FC6" w:rsidR="00CB1DE1">
              <w:t>teikėjo sąsajos prieinamumo tikslinė vertė per vieną (1) kalendorinį mėnesį pagal sąsajos specifikacijas.</w:t>
            </w:r>
          </w:p>
        </w:tc>
        <w:tc>
          <w:tcPr>
            <w:tcW w:w="1645" w:type="dxa"/>
            <w:tcMar/>
          </w:tcPr>
          <w:p w:rsidR="00CB1DE1" w:rsidP="00CB1DE1" w:rsidRDefault="00CB1DE1" w14:paraId="6E54D3E3" w14:textId="4F655F82">
            <w:r>
              <w:t>99,90 %</w:t>
            </w:r>
          </w:p>
        </w:tc>
        <w:tc>
          <w:tcPr>
            <w:tcW w:w="1379" w:type="dxa"/>
            <w:tcMar/>
          </w:tcPr>
          <w:p w:rsidR="00CB1DE1" w:rsidP="00CB1DE1" w:rsidRDefault="00CB1DE1" w14:paraId="4751AC1E" w14:textId="5190564C">
            <w:r>
              <w:t>Kas mėnesį</w:t>
            </w:r>
          </w:p>
        </w:tc>
      </w:tr>
    </w:tbl>
    <w:p w:rsidRPr="0000412A" w:rsidR="000D7F08" w:rsidP="00541688" w:rsidRDefault="000D7F08" w14:paraId="2E61190C" w14:textId="77777777"/>
    <w:p w:rsidRPr="0000412A" w:rsidR="000D7F08" w:rsidP="00541688" w:rsidRDefault="000D7F08" w14:paraId="50A2F4F8" w14:textId="77777777"/>
    <w:p w:rsidR="00BA6176" w:rsidP="00541688" w:rsidRDefault="00BA6176" w14:paraId="698131F3" w14:textId="77777777"/>
    <w:p w:rsidRPr="0000412A" w:rsidR="00BA6176" w:rsidP="00541688" w:rsidRDefault="00BA6176" w14:paraId="244CFE58" w14:textId="77777777"/>
    <w:p w:rsidRPr="0000412A" w:rsidR="009E6718" w:rsidP="00541688" w:rsidRDefault="009E6718" w14:paraId="2554478E" w14:textId="77777777"/>
    <w:p w:rsidRPr="0000412A" w:rsidR="000D7F08" w:rsidP="00541688" w:rsidRDefault="000D7F08" w14:paraId="6715DC35" w14:textId="77777777"/>
    <w:p w:rsidRPr="0000412A" w:rsidR="000D7F08" w:rsidP="00541688" w:rsidRDefault="000D7F08" w14:paraId="20D487D5" w14:textId="77777777"/>
    <w:p w:rsidRPr="0000412A" w:rsidR="000D7F08" w:rsidP="00541688" w:rsidRDefault="000D7F08" w14:paraId="4A89F864" w14:textId="77777777"/>
    <w:p w:rsidR="000D7F08" w:rsidP="00541688" w:rsidRDefault="000D7F08" w14:paraId="5053D06B" w14:textId="77777777">
      <w:pPr>
        <w:rPr>
          <w:b/>
          <w:bCs/>
        </w:rPr>
      </w:pPr>
    </w:p>
    <w:p w:rsidRPr="007C0E97" w:rsidR="00A02ED6" w:rsidP="00541688" w:rsidRDefault="00A02ED6" w14:paraId="027BEB2E" w14:textId="69E090BB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sectPr w:rsidRPr="007C0E97" w:rsidR="00A02ED6" w:rsidSect="00F512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 w:orient="portrait" w:code="9"/>
      <w:pgMar w:top="426" w:right="873" w:bottom="567" w:left="1486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7C0E97" w:rsidR="00780A86" w:rsidP="00B24570" w:rsidRDefault="00780A86" w14:paraId="0332D78E" w14:textId="77777777">
      <w:pPr>
        <w:spacing w:after="0" w:line="240" w:lineRule="auto"/>
      </w:pPr>
      <w:r w:rsidRPr="007C0E97">
        <w:separator/>
      </w:r>
    </w:p>
  </w:endnote>
  <w:endnote w:type="continuationSeparator" w:id="0">
    <w:p w:rsidRPr="007C0E97" w:rsidR="00780A86" w:rsidP="00B24570" w:rsidRDefault="00780A86" w14:paraId="761FC79E" w14:textId="77777777">
      <w:pPr>
        <w:spacing w:after="0" w:line="240" w:lineRule="auto"/>
      </w:pPr>
      <w:r w:rsidRPr="007C0E97">
        <w:continuationSeparator/>
      </w:r>
    </w:p>
  </w:endnote>
  <w:endnote w:type="continuationNotice" w:id="1">
    <w:p w:rsidRPr="007C0E97" w:rsidR="00780A86" w:rsidRDefault="00780A86" w14:paraId="1634070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6B2" w:rsidRDefault="00C926B2" w14:paraId="34E1CB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731"/>
    </w:tblGrid>
    <w:tr xmlns:wp14="http://schemas.microsoft.com/office/word/2010/wordml" w:rsidTr="007B5618" w14:paraId="672A6659" wp14:textId="77777777">
      <w:tc>
        <w:tcPr>
          <w:tcW w:w="1731" w:type="dxa"/>
        </w:tcPr>
        <w:p w:rsidRPr="007C0E97" w:rsidR="00503E0A" w:rsidP="00D4795B" w:rsidRDefault="00503E0A" w14:paraId="401F7A0E" w14:textId="77777777">
          <w:pPr>
            <w:pStyle w:val="Header"/>
            <w:ind w:left="-115"/>
          </w:pPr>
        </w:p>
      </w:tc>
      <w:tc>
        <w:tcPr>
          <w:tcW w:w="1731" w:type="dxa"/>
        </w:tcPr>
        <w:p w:rsidRPr="007C0E97" w:rsidR="00503E0A" w:rsidP="00D4795B" w:rsidRDefault="00503E0A" w14:paraId="129A3365" w14:textId="77777777">
          <w:pPr>
            <w:pStyle w:val="Header"/>
            <w:jc w:val="center"/>
          </w:pPr>
        </w:p>
      </w:tc>
      <w:tc>
        <w:tcPr>
          <w:tcW w:w="1731" w:type="dxa"/>
        </w:tcPr>
        <w:p w:rsidRPr="007C0E97" w:rsidR="00503E0A" w:rsidP="00D4795B" w:rsidRDefault="00503E0A" w14:paraId="40B26808" w14:textId="77777777">
          <w:pPr>
            <w:pStyle w:val="Header"/>
            <w:ind w:right="-115"/>
            <w:jc w:val="right"/>
          </w:pPr>
        </w:p>
      </w:tc>
    </w:tr>
  </w:tbl>
  <w:p w:rsidRPr="007C0E97" w:rsidR="00503E0A" w:rsidP="00D4795B" w:rsidRDefault="00503E0A" w14:paraId="209F6CC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731"/>
    </w:tblGrid>
    <w:tr xmlns:wp14="http://schemas.microsoft.com/office/word/2010/wordml" w:rsidTr="007B5618" w14:paraId="5DAB6C7B" wp14:textId="77777777">
      <w:tc>
        <w:tcPr>
          <w:tcW w:w="1731" w:type="dxa"/>
        </w:tcPr>
        <w:p w:rsidRPr="007C0E97" w:rsidR="00503E0A" w:rsidP="00D4795B" w:rsidRDefault="00503E0A" w14:paraId="4CABFF63" w14:textId="77777777">
          <w:pPr>
            <w:pStyle w:val="Header"/>
            <w:ind w:left="-115"/>
          </w:pPr>
        </w:p>
      </w:tc>
      <w:tc>
        <w:tcPr>
          <w:tcW w:w="1731" w:type="dxa"/>
        </w:tcPr>
        <w:p w:rsidRPr="007C0E97" w:rsidR="00503E0A" w:rsidP="00D4795B" w:rsidRDefault="00503E0A" w14:paraId="7D715CC5" w14:textId="77777777">
          <w:pPr>
            <w:pStyle w:val="Header"/>
            <w:jc w:val="center"/>
          </w:pPr>
        </w:p>
      </w:tc>
      <w:tc>
        <w:tcPr>
          <w:tcW w:w="1731" w:type="dxa"/>
        </w:tcPr>
        <w:p w:rsidRPr="007C0E97" w:rsidR="00503E0A" w:rsidP="00D4795B" w:rsidRDefault="00503E0A" w14:paraId="0100E051" w14:textId="77777777">
          <w:pPr>
            <w:pStyle w:val="Header"/>
            <w:ind w:right="-115"/>
            <w:jc w:val="right"/>
          </w:pPr>
        </w:p>
      </w:tc>
    </w:tr>
  </w:tbl>
  <w:p w:rsidRPr="007C0E97" w:rsidR="00503E0A" w:rsidP="00D4795B" w:rsidRDefault="00503E0A" w14:paraId="2EFB30C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7C0E97" w:rsidR="00780A86" w:rsidP="00B24570" w:rsidRDefault="00780A86" w14:paraId="607CEA63" w14:textId="77777777">
      <w:pPr>
        <w:spacing w:after="0" w:line="240" w:lineRule="auto"/>
      </w:pPr>
      <w:r w:rsidRPr="007C0E97">
        <w:separator/>
      </w:r>
    </w:p>
  </w:footnote>
  <w:footnote w:type="continuationSeparator" w:id="0">
    <w:p w:rsidRPr="007C0E97" w:rsidR="00780A86" w:rsidP="00B24570" w:rsidRDefault="00780A86" w14:paraId="25FAC49B" w14:textId="77777777">
      <w:pPr>
        <w:spacing w:after="0" w:line="240" w:lineRule="auto"/>
      </w:pPr>
      <w:r w:rsidRPr="007C0E97">
        <w:continuationSeparator/>
      </w:r>
    </w:p>
  </w:footnote>
  <w:footnote w:type="continuationNotice" w:id="1">
    <w:p w:rsidRPr="007C0E97" w:rsidR="00780A86" w:rsidRDefault="00780A86" w14:paraId="01257DD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6B2" w:rsidRDefault="00C926B2" w14:paraId="13FB51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731"/>
    </w:tblGrid>
    <w:tr xmlns:wp14="http://schemas.microsoft.com/office/word/2010/wordml" w:rsidTr="007B5618" w14:paraId="0A37501D" wp14:textId="77777777">
      <w:tc>
        <w:tcPr>
          <w:tcW w:w="1731" w:type="dxa"/>
        </w:tcPr>
        <w:p w:rsidRPr="007C0E97" w:rsidR="00503E0A" w:rsidP="00D4795B" w:rsidRDefault="00503E0A" w14:paraId="0FB7E837" w14:textId="77777777">
          <w:pPr>
            <w:pStyle w:val="Header"/>
            <w:ind w:left="-115"/>
          </w:pPr>
        </w:p>
      </w:tc>
      <w:tc>
        <w:tcPr>
          <w:tcW w:w="1731" w:type="dxa"/>
        </w:tcPr>
        <w:p w:rsidRPr="007C0E97" w:rsidR="00503E0A" w:rsidP="00D4795B" w:rsidRDefault="00503E0A" w14:paraId="1D544E4A" w14:textId="77777777">
          <w:pPr>
            <w:pStyle w:val="Header"/>
            <w:jc w:val="center"/>
          </w:pPr>
        </w:p>
      </w:tc>
    </w:tr>
  </w:tbl>
  <w:tbl>
    <w:tblPr>
      <w:tblStyle w:val="TableGrid"/>
      <w:tblW w:w="0" w:type="auto"/>
      <w:tblLook w:val="04A0" w:firstRow="1" w:lastRow="0" w:firstColumn="1" w:lastColumn="0" w:noHBand="0" w:noVBand="1"/>
    </w:tblPr>
    <w:tblGrid/>
    <w:tr w:rsidR="00D4795B" w:rsidTr="007B5618" w14:paraId="49A4F244" w14:textId="77777777">
      <w:tc>
        <w:tcPr>
          <w:tcW w:w="1731" w:type="dxa"/>
          <w:gridSpan w:val="0"/>
        </w:tcPr>
        <w:p w:rsidRPr="007C0E97" w:rsidR="00503E0A" w:rsidP="00D4795B" w:rsidRDefault="00503E0A" w14:paraId="464C2B39" w14:textId="77777777">
          <w:pPr>
            <w:pStyle w:val="Header"/>
            <w:ind w:right="-115"/>
            <w:jc w:val="right"/>
          </w:pPr>
        </w:p>
      </w:tc>
    </w:tr>
  </w:tbl>
  <w:p w:rsidRPr="007C0E97" w:rsidR="00503E0A" w:rsidP="00D4795B" w:rsidRDefault="00503E0A" w14:paraId="2203DB4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7C0E97" w:rsidR="00503E0A" w:rsidP="00D4795B" w:rsidRDefault="00503E0A" w14:paraId="3968A84F" w14:textId="77777777">
    <w:pPr>
      <w:pStyle w:val="Header"/>
    </w:pPr>
  </w:p>
  <w:p w:rsidRPr="00C926B2" w:rsidR="00BE3ED2" w:rsidP="7EAC34F8" w:rsidRDefault="00BE3ED2" w14:paraId="468DC401" w14:textId="0BB92167">
    <w:pPr>
      <w:pStyle w:val="Header"/>
      <w:tabs>
        <w:tab w:val="clear" w:pos="4680"/>
        <w:tab w:val="clear" w:pos="9360"/>
        <w:tab w:val="center" w:pos="3544"/>
        <w:tab w:val="right" w:pos="9498"/>
      </w:tabs>
      <w:jc w:val="right"/>
      <w:rPr>
        <w:rFonts w:ascii="Aptos" w:hAnsi="Aptos" w:asciiTheme="minorAscii" w:hAnsiTheme="minorAscii"/>
      </w:rPr>
    </w:pPr>
    <w:r w:rsidRPr="7EAC34F8" w:rsidR="7EAC34F8">
      <w:rPr>
        <w:rFonts w:ascii="Aptos" w:hAnsi="Aptos" w:asciiTheme="minorAscii" w:hAnsiTheme="minorAscii"/>
      </w:rPr>
      <w:t xml:space="preserve">Lietuvos </w:t>
    </w:r>
    <w:r w:rsidRPr="7EAC34F8" w:rsidR="7EAC34F8">
      <w:rPr>
        <w:rFonts w:ascii="Aptos" w:hAnsi="Aptos" w:asciiTheme="minorAscii" w:hAnsiTheme="minorAscii"/>
      </w:rPr>
      <w:t>Respublikos</w:t>
    </w:r>
    <w:r w:rsidRPr="7EAC34F8" w:rsidR="7EAC34F8">
      <w:rPr>
        <w:rFonts w:ascii="Aptos" w:hAnsi="Aptos" w:asciiTheme="minorAscii" w:hAnsiTheme="minorAscii"/>
      </w:rPr>
      <w:t xml:space="preserve"> </w:t>
    </w:r>
    <w:r w:rsidRPr="7EAC34F8" w:rsidR="7EAC34F8">
      <w:rPr>
        <w:rFonts w:ascii="Aptos" w:hAnsi="Aptos" w:asciiTheme="minorAscii" w:hAnsiTheme="minorAscii"/>
      </w:rPr>
      <w:t xml:space="preserve">EERP </w:t>
    </w:r>
    <w:r w:rsidRPr="7EAC34F8" w:rsidR="7EAC34F8">
      <w:rPr>
        <w:rFonts w:ascii="Aptos" w:hAnsi="Aptos" w:asciiTheme="minorAscii" w:hAnsiTheme="minorAscii"/>
      </w:rPr>
      <w:t>teritorijos</w:t>
    </w:r>
    <w:r w:rsidRPr="7EAC34F8" w:rsidR="7EAC34F8">
      <w:rPr>
        <w:rFonts w:ascii="Aptos" w:hAnsi="Aptos" w:asciiTheme="minorAscii" w:hAnsiTheme="minorAscii"/>
      </w:rPr>
      <w:t xml:space="preserve"> </w:t>
    </w:r>
    <w:r w:rsidRPr="7EAC34F8" w:rsidR="7EAC34F8">
      <w:rPr>
        <w:rFonts w:ascii="Aptos" w:hAnsi="Aptos" w:asciiTheme="minorAscii" w:hAnsiTheme="minorAscii"/>
      </w:rPr>
      <w:t>dokumentas</w:t>
    </w:r>
  </w:p>
  <w:p w:rsidRPr="00C926B2" w:rsidR="00503E0A" w:rsidP="7EAC34F8" w:rsidRDefault="00BE3ED2" w14:paraId="2FB308EF" w14:textId="0A03154B">
    <w:pPr>
      <w:pStyle w:val="Header"/>
      <w:tabs>
        <w:tab w:val="clear" w:pos="9360"/>
        <w:tab w:val="right" w:pos="9498"/>
      </w:tabs>
      <w:jc w:val="right"/>
      <w:rPr>
        <w:rFonts w:ascii="Aptos" w:hAnsi="Aptos" w:asciiTheme="minorAscii" w:hAnsiTheme="minorAscii"/>
      </w:rPr>
    </w:pPr>
    <w:r w:rsidRPr="00C926B2">
      <w:rPr>
        <w:rFonts w:asciiTheme="minorHAnsi" w:hAnsiTheme="minorHAnsi"/>
      </w:rPr>
      <w:tab/>
    </w:r>
    <w:r w:rsidRPr="00C926B2">
      <w:rPr>
        <w:rFonts w:asciiTheme="minorHAnsi" w:hAnsiTheme="minorHAnsi"/>
      </w:rPr>
      <w:tab/>
    </w:r>
    <w:r w:rsidRPr="7EAC34F8" w:rsidR="7EAC34F8">
      <w:rPr>
        <w:rFonts w:ascii="Aptos" w:hAnsi="Aptos" w:asciiTheme="minorAscii" w:hAnsiTheme="minorAscii"/>
      </w:rPr>
      <w:t>Priedas Nr.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hAnsi="Times New Roman" w:eastAsia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47889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A8174A"/>
    <w:rsid w:val="0000412A"/>
    <w:rsid w:val="000611B5"/>
    <w:rsid w:val="00063797"/>
    <w:rsid w:val="00071E5B"/>
    <w:rsid w:val="000967F3"/>
    <w:rsid w:val="000A320E"/>
    <w:rsid w:val="000A3F9E"/>
    <w:rsid w:val="000D7F08"/>
    <w:rsid w:val="000F6F03"/>
    <w:rsid w:val="00100FC6"/>
    <w:rsid w:val="00123492"/>
    <w:rsid w:val="00150D42"/>
    <w:rsid w:val="00196AD0"/>
    <w:rsid w:val="001B1B4E"/>
    <w:rsid w:val="001E39EA"/>
    <w:rsid w:val="001E45C7"/>
    <w:rsid w:val="002D3DC7"/>
    <w:rsid w:val="002D59A8"/>
    <w:rsid w:val="002E6735"/>
    <w:rsid w:val="003114DE"/>
    <w:rsid w:val="0032602A"/>
    <w:rsid w:val="00372BF5"/>
    <w:rsid w:val="003769DA"/>
    <w:rsid w:val="003B450A"/>
    <w:rsid w:val="003C5B43"/>
    <w:rsid w:val="003E41D8"/>
    <w:rsid w:val="00447FFB"/>
    <w:rsid w:val="0046038B"/>
    <w:rsid w:val="0046426F"/>
    <w:rsid w:val="0047107E"/>
    <w:rsid w:val="004948AA"/>
    <w:rsid w:val="004B132B"/>
    <w:rsid w:val="004C49CC"/>
    <w:rsid w:val="004D5A58"/>
    <w:rsid w:val="004F57F6"/>
    <w:rsid w:val="00503E0A"/>
    <w:rsid w:val="00535EA8"/>
    <w:rsid w:val="00541688"/>
    <w:rsid w:val="00544F13"/>
    <w:rsid w:val="00545CBE"/>
    <w:rsid w:val="005A41A6"/>
    <w:rsid w:val="005D0666"/>
    <w:rsid w:val="005D1FC6"/>
    <w:rsid w:val="005D40E6"/>
    <w:rsid w:val="005E508C"/>
    <w:rsid w:val="005F1B4F"/>
    <w:rsid w:val="006167AB"/>
    <w:rsid w:val="00622BBB"/>
    <w:rsid w:val="00627F97"/>
    <w:rsid w:val="00645DBB"/>
    <w:rsid w:val="006D0FCF"/>
    <w:rsid w:val="00700238"/>
    <w:rsid w:val="00715CE4"/>
    <w:rsid w:val="007727D4"/>
    <w:rsid w:val="00780A86"/>
    <w:rsid w:val="007B5618"/>
    <w:rsid w:val="007C0E97"/>
    <w:rsid w:val="007C4B64"/>
    <w:rsid w:val="007E0B0B"/>
    <w:rsid w:val="007F728D"/>
    <w:rsid w:val="0081771B"/>
    <w:rsid w:val="00881507"/>
    <w:rsid w:val="008A0A43"/>
    <w:rsid w:val="00920886"/>
    <w:rsid w:val="00981227"/>
    <w:rsid w:val="009A6000"/>
    <w:rsid w:val="009C3126"/>
    <w:rsid w:val="009E453E"/>
    <w:rsid w:val="009E6718"/>
    <w:rsid w:val="009F4922"/>
    <w:rsid w:val="00A00BBC"/>
    <w:rsid w:val="00A02ED6"/>
    <w:rsid w:val="00A2044E"/>
    <w:rsid w:val="00A86078"/>
    <w:rsid w:val="00AA3E95"/>
    <w:rsid w:val="00AD638F"/>
    <w:rsid w:val="00B24570"/>
    <w:rsid w:val="00B754E4"/>
    <w:rsid w:val="00B84EAE"/>
    <w:rsid w:val="00BA1054"/>
    <w:rsid w:val="00BA6176"/>
    <w:rsid w:val="00BD421E"/>
    <w:rsid w:val="00BE3ED2"/>
    <w:rsid w:val="00BF401F"/>
    <w:rsid w:val="00BF66A4"/>
    <w:rsid w:val="00C20778"/>
    <w:rsid w:val="00C24CB4"/>
    <w:rsid w:val="00C24D48"/>
    <w:rsid w:val="00C70660"/>
    <w:rsid w:val="00C926B2"/>
    <w:rsid w:val="00CA3B4D"/>
    <w:rsid w:val="00CA5D52"/>
    <w:rsid w:val="00CB1DE1"/>
    <w:rsid w:val="00CC6759"/>
    <w:rsid w:val="00CE2AFF"/>
    <w:rsid w:val="00CE6FA5"/>
    <w:rsid w:val="00D236CB"/>
    <w:rsid w:val="00D364E3"/>
    <w:rsid w:val="00D41F02"/>
    <w:rsid w:val="00D4795B"/>
    <w:rsid w:val="00D94806"/>
    <w:rsid w:val="00D97F95"/>
    <w:rsid w:val="00DA0B4A"/>
    <w:rsid w:val="00E720D3"/>
    <w:rsid w:val="00EA51EA"/>
    <w:rsid w:val="00EE13D3"/>
    <w:rsid w:val="00EE6F8A"/>
    <w:rsid w:val="00F332F1"/>
    <w:rsid w:val="00F5122F"/>
    <w:rsid w:val="00F91CA2"/>
    <w:rsid w:val="00FC336E"/>
    <w:rsid w:val="00FD6086"/>
    <w:rsid w:val="00FF2B5E"/>
    <w:rsid w:val="02F7CA2D"/>
    <w:rsid w:val="083B1E5D"/>
    <w:rsid w:val="0F57AD65"/>
    <w:rsid w:val="1020A24D"/>
    <w:rsid w:val="12268651"/>
    <w:rsid w:val="1D693ACF"/>
    <w:rsid w:val="21F74487"/>
    <w:rsid w:val="2605B031"/>
    <w:rsid w:val="2A17D4C5"/>
    <w:rsid w:val="2C00F3DB"/>
    <w:rsid w:val="2CB9130C"/>
    <w:rsid w:val="2DFCAFA5"/>
    <w:rsid w:val="35504B56"/>
    <w:rsid w:val="36B2BCDF"/>
    <w:rsid w:val="3A266FC9"/>
    <w:rsid w:val="3B997D70"/>
    <w:rsid w:val="3BF86CB8"/>
    <w:rsid w:val="3E26F71F"/>
    <w:rsid w:val="48B738B4"/>
    <w:rsid w:val="4A9E25CC"/>
    <w:rsid w:val="4B59085E"/>
    <w:rsid w:val="4DB39081"/>
    <w:rsid w:val="4DB9173B"/>
    <w:rsid w:val="50187981"/>
    <w:rsid w:val="51B9D044"/>
    <w:rsid w:val="5AB5554D"/>
    <w:rsid w:val="62591C33"/>
    <w:rsid w:val="64A8174A"/>
    <w:rsid w:val="64EAA26D"/>
    <w:rsid w:val="69C24338"/>
    <w:rsid w:val="6BC68C00"/>
    <w:rsid w:val="75324685"/>
    <w:rsid w:val="765EFF83"/>
    <w:rsid w:val="7B58092D"/>
    <w:rsid w:val="7C6C3D43"/>
    <w:rsid w:val="7E34011E"/>
    <w:rsid w:val="7E483233"/>
    <w:rsid w:val="7EAC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A8174A"/>
  <w15:chartTrackingRefBased/>
  <w15:docId w15:val="{E1A2F8C5-4AD1-4700-8373-FB78FAB28C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70"/>
    <w:pPr>
      <w:tabs>
        <w:tab w:val="center" w:pos="4680"/>
        <w:tab w:val="right" w:pos="9360"/>
      </w:tabs>
      <w:spacing w:after="0" w:line="240" w:lineRule="auto"/>
    </w:pPr>
    <w:rPr>
      <w:rFonts w:ascii="Arial Unicode MS" w:hAnsi="Arial Unicode MS" w:eastAsia="Arial Unicode MS" w:cs="Arial Unicode MS"/>
      <w:color w:val="000000"/>
      <w:lang w:eastAsia="lt-LT"/>
    </w:rPr>
  </w:style>
  <w:style w:type="character" w:styleId="HeaderChar" w:customStyle="1">
    <w:name w:val="Header Char"/>
    <w:basedOn w:val="DefaultParagraphFont"/>
    <w:link w:val="Header"/>
    <w:uiPriority w:val="99"/>
    <w:rsid w:val="00B24570"/>
    <w:rPr>
      <w:rFonts w:ascii="Arial Unicode MS" w:hAnsi="Arial Unicode MS" w:eastAsia="Arial Unicode MS" w:cs="Arial Unicode MS"/>
      <w:color w:val="00000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B24570"/>
    <w:pPr>
      <w:tabs>
        <w:tab w:val="center" w:pos="4680"/>
        <w:tab w:val="right" w:pos="9360"/>
      </w:tabs>
      <w:spacing w:after="0" w:line="240" w:lineRule="auto"/>
    </w:pPr>
    <w:rPr>
      <w:rFonts w:ascii="Arial Unicode MS" w:hAnsi="Arial Unicode MS" w:eastAsia="Arial Unicode MS" w:cs="Arial Unicode MS"/>
      <w:color w:val="000000"/>
      <w:lang w:eastAsia="lt-LT"/>
    </w:rPr>
  </w:style>
  <w:style w:type="character" w:styleId="FooterChar" w:customStyle="1">
    <w:name w:val="Footer Char"/>
    <w:basedOn w:val="DefaultParagraphFont"/>
    <w:link w:val="Footer"/>
    <w:uiPriority w:val="99"/>
    <w:rsid w:val="00B24570"/>
    <w:rPr>
      <w:rFonts w:ascii="Arial Unicode MS" w:hAnsi="Arial Unicode MS" w:eastAsia="Arial Unicode MS" w:cs="Arial Unicode MS"/>
      <w:color w:val="000000"/>
      <w:lang w:eastAsia="lt-LT"/>
    </w:rPr>
  </w:style>
  <w:style w:type="character" w:styleId="FootnoteReference">
    <w:name w:val="footnote reference"/>
    <w:basedOn w:val="DefaultParagraphFont"/>
    <w:uiPriority w:val="99"/>
    <w:unhideWhenUsed/>
    <w:rsid w:val="00B24570"/>
    <w:rPr>
      <w:vertAlign w:val="superscript"/>
    </w:rPr>
  </w:style>
  <w:style w:type="paragraph" w:styleId="CommentText">
    <w:name w:val="Comment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7727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C70660"/>
    <w:pPr>
      <w:spacing w:after="0" w:line="240" w:lineRule="auto"/>
    </w:pPr>
    <w:rPr>
      <w:lang w:val="en-GB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0637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379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f2afb-9b57-41de-8379-8ff12c3189b6">
      <Terms xmlns="http://schemas.microsoft.com/office/infopath/2007/PartnerControls"/>
    </lcf76f155ced4ddcb4097134ff3c332f>
    <TaxCatchAll xmlns="19087870-50ab-4a66-bc64-4be2dafd33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C3CB78FF70C458439D75B4A23944F" ma:contentTypeVersion="15" ma:contentTypeDescription="Create a new document." ma:contentTypeScope="" ma:versionID="3e25a96498b7da5b760be45d86e9cb25">
  <xsd:schema xmlns:xsd="http://www.w3.org/2001/XMLSchema" xmlns:xs="http://www.w3.org/2001/XMLSchema" xmlns:p="http://schemas.microsoft.com/office/2006/metadata/properties" xmlns:ns2="8e6f2afb-9b57-41de-8379-8ff12c3189b6" xmlns:ns3="19087870-50ab-4a66-bc64-4be2dafd3379" targetNamespace="http://schemas.microsoft.com/office/2006/metadata/properties" ma:root="true" ma:fieldsID="d80e8b624948cd3bf0ba2e3af38e5bc7" ns2:_="" ns3:_="">
    <xsd:import namespace="8e6f2afb-9b57-41de-8379-8ff12c3189b6"/>
    <xsd:import namespace="19087870-50ab-4a66-bc64-4be2dafd33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2afb-9b57-41de-8379-8ff12c3189b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87870-50ab-4a66-bc64-4be2dafd33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cae304-4f73-41a5-9856-da826d1033e3}" ma:internalName="TaxCatchAll" ma:showField="CatchAllData" ma:web="19087870-50ab-4a66-bc64-4be2dafd3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564B4-B4E1-4D98-90C7-2CA8C645BB6E}">
  <ds:schemaRefs>
    <ds:schemaRef ds:uri="http://schemas.microsoft.com/office/2006/metadata/properties"/>
    <ds:schemaRef ds:uri="http://schemas.microsoft.com/office/infopath/2007/PartnerControls"/>
    <ds:schemaRef ds:uri="8e6f2afb-9b57-41de-8379-8ff12c3189b6"/>
    <ds:schemaRef ds:uri="19087870-50ab-4a66-bc64-4be2dafd3379"/>
  </ds:schemaRefs>
</ds:datastoreItem>
</file>

<file path=customXml/itemProps2.xml><?xml version="1.0" encoding="utf-8"?>
<ds:datastoreItem xmlns:ds="http://schemas.openxmlformats.org/officeDocument/2006/customXml" ds:itemID="{7CDFF0F9-E751-4E0F-955A-E4D014ECC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f2afb-9b57-41de-8379-8ff12c3189b6"/>
    <ds:schemaRef ds:uri="19087870-50ab-4a66-bc64-4be2dafd3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D235C6-7020-4866-B806-1FAE7D0A8EC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Daina Bilkštytė-Skanė</dc:creator>
  <keywords>docId:A6B8F5843CA550331E856043184B5D15</keywords>
  <dc:description/>
  <lastModifiedBy>Grašienė, Rasa</lastModifiedBy>
  <revision>18</revision>
  <dcterms:created xsi:type="dcterms:W3CDTF">2026-06-18T10:23:00.0000000Z</dcterms:created>
  <dcterms:modified xsi:type="dcterms:W3CDTF">2026-06-19T13:14:48.8845133Z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0x010100A7AC3CB78FF70C458439D75B4A23944F</vt:lpwstr>
  </property>
  <property fmtid="{D5CDD505-2E9C-101B-9397-08002B2CF9AE}" pid="3" name="MediaServiceImageTags">
    <vt:lpwstr/>
  </property>
</Properties>
</file>