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8D76" w:rsidP="00FA8D76" w:rsidRDefault="00FA8D76" w14:paraId="06FD124F" w14:textId="65AC080F">
      <w:pPr>
        <w:spacing w:after="0" w:line="240" w:lineRule="auto"/>
        <w:jc w:val="right"/>
        <w:rPr>
          <w:rFonts w:ascii="Arial" w:hAnsi="Arial" w:cs="Arial"/>
          <w:sz w:val="20"/>
          <w:szCs w:val="20"/>
        </w:rPr>
      </w:pPr>
    </w:p>
    <w:p w:rsidRPr="008E059E" w:rsidR="000341BA" w:rsidP="000341BA" w:rsidRDefault="000341BA" w14:paraId="064ED84F" w14:textId="77777777">
      <w:pPr>
        <w:spacing w:after="0" w:line="240" w:lineRule="auto"/>
        <w:jc w:val="center"/>
        <w:rPr>
          <w:rFonts w:ascii="Arial" w:hAnsi="Arial" w:cs="Arial"/>
          <w:sz w:val="20"/>
          <w:szCs w:val="20"/>
        </w:rPr>
      </w:pPr>
    </w:p>
    <w:p w:rsidRPr="008E059E" w:rsidR="000341BA" w:rsidP="000341BA" w:rsidRDefault="00F90728" w14:paraId="19CD14AF" w14:textId="03AE37D9">
      <w:pPr>
        <w:spacing w:after="0" w:line="240" w:lineRule="auto"/>
        <w:jc w:val="center"/>
        <w:textAlignment w:val="baseline"/>
        <w:rPr>
          <w:rFonts w:ascii="Arial" w:hAnsi="Arial" w:eastAsia="Times New Roman" w:cs="Arial"/>
          <w:b/>
          <w:bCs/>
          <w:kern w:val="0"/>
          <w:sz w:val="20"/>
          <w:szCs w:val="20"/>
          <w:lang w:eastAsia="lt-LT"/>
          <w14:ligatures w14:val="none"/>
        </w:rPr>
      </w:pPr>
      <w:r w:rsidRPr="008E059E">
        <w:rPr>
          <w:rFonts w:ascii="Arial" w:hAnsi="Arial" w:eastAsia="Times New Roman" w:cs="Arial"/>
          <w:b/>
          <w:bCs/>
          <w:kern w:val="0"/>
          <w:sz w:val="20"/>
          <w:szCs w:val="20"/>
          <w:lang w:eastAsia="lt-LT"/>
          <w14:ligatures w14:val="none"/>
        </w:rPr>
        <w:t>ATLYGIS </w:t>
      </w:r>
    </w:p>
    <w:p w:rsidRPr="008E059E" w:rsidR="000341BA" w:rsidP="000341BA" w:rsidRDefault="000341BA" w14:paraId="6B9F4A13" w14:textId="77777777">
      <w:pPr>
        <w:spacing w:after="0" w:line="240" w:lineRule="auto"/>
        <w:jc w:val="both"/>
        <w:textAlignment w:val="baseline"/>
        <w:rPr>
          <w:rFonts w:ascii="Arial" w:hAnsi="Arial" w:eastAsia="Times New Roman" w:cs="Arial"/>
          <w:kern w:val="0"/>
          <w:sz w:val="20"/>
          <w:szCs w:val="20"/>
          <w:lang w:eastAsia="lt-LT"/>
          <w14:ligatures w14:val="none"/>
        </w:rPr>
      </w:pPr>
      <w:r w:rsidRPr="008E059E">
        <w:rPr>
          <w:rFonts w:ascii="Arial" w:hAnsi="Arial" w:eastAsia="Times New Roman" w:cs="Arial"/>
          <w:kern w:val="0"/>
          <w:sz w:val="20"/>
          <w:szCs w:val="20"/>
          <w:lang w:eastAsia="lt-LT"/>
          <w14:ligatures w14:val="none"/>
        </w:rPr>
        <w:t> </w:t>
      </w:r>
    </w:p>
    <w:p w:rsidRPr="008E059E" w:rsidR="000341BA" w:rsidP="000341BA" w:rsidRDefault="000341BA" w14:paraId="58E9A633" w14:textId="77777777">
      <w:pPr>
        <w:spacing w:after="0" w:line="240" w:lineRule="auto"/>
        <w:jc w:val="center"/>
        <w:textAlignment w:val="baseline"/>
        <w:rPr>
          <w:rFonts w:ascii="Arial" w:hAnsi="Arial" w:eastAsia="Times New Roman" w:cs="Arial"/>
          <w:kern w:val="0"/>
          <w:sz w:val="20"/>
          <w:szCs w:val="20"/>
          <w:lang w:eastAsia="lt-LT"/>
          <w14:ligatures w14:val="none"/>
        </w:rPr>
      </w:pPr>
      <w:r w:rsidRPr="008E059E">
        <w:rPr>
          <w:rFonts w:ascii="Arial" w:hAnsi="Arial" w:eastAsia="Times New Roman" w:cs="Arial"/>
          <w:b/>
          <w:bCs/>
          <w:kern w:val="0"/>
          <w:sz w:val="20"/>
          <w:szCs w:val="20"/>
          <w:lang w:eastAsia="lt-LT"/>
          <w14:ligatures w14:val="none"/>
        </w:rPr>
        <w:t>1. Bendrosios nuostatos</w:t>
      </w:r>
    </w:p>
    <w:p w:rsidRPr="008E059E" w:rsidR="000341BA" w:rsidP="000341BA" w:rsidRDefault="000341BA" w14:paraId="1699D091" w14:textId="77777777">
      <w:pPr>
        <w:spacing w:after="0" w:line="240" w:lineRule="auto"/>
        <w:ind w:left="851" w:hanging="851"/>
        <w:jc w:val="both"/>
        <w:textAlignment w:val="baseline"/>
        <w:rPr>
          <w:rFonts w:ascii="Arial" w:hAnsi="Arial" w:eastAsia="Times New Roman" w:cs="Arial"/>
          <w:kern w:val="0"/>
          <w:sz w:val="20"/>
          <w:szCs w:val="20"/>
          <w:lang w:eastAsia="lt-LT"/>
          <w14:ligatures w14:val="none"/>
        </w:rPr>
      </w:pPr>
    </w:p>
    <w:p w:rsidRPr="008E059E" w:rsidR="000341BA" w:rsidP="0001173D" w:rsidRDefault="000341BA" w14:paraId="25E2FC94" w14:textId="3A7C52EE">
      <w:pPr>
        <w:pStyle w:val="ListParagraph"/>
        <w:numPr>
          <w:ilvl w:val="1"/>
          <w:numId w:val="3"/>
        </w:numPr>
        <w:spacing w:after="0" w:line="240" w:lineRule="auto"/>
        <w:ind w:left="851" w:hanging="851"/>
        <w:jc w:val="both"/>
        <w:textAlignment w:val="baseline"/>
        <w:rPr>
          <w:rFonts w:ascii="Arial" w:hAnsi="Arial" w:eastAsia="Times New Roman" w:cs="Arial"/>
          <w:kern w:val="0"/>
          <w:sz w:val="20"/>
          <w:szCs w:val="20"/>
          <w:lang w:eastAsia="lt-LT"/>
          <w14:ligatures w14:val="none"/>
        </w:rPr>
      </w:pPr>
      <w:r w:rsidRPr="008E059E" w:rsidR="000341BA">
        <w:rPr>
          <w:rFonts w:ascii="Arial" w:hAnsi="Arial" w:eastAsia="Times New Roman" w:cs="Arial"/>
          <w:kern w:val="0"/>
          <w:sz w:val="20"/>
          <w:szCs w:val="20"/>
          <w:lang w:eastAsia="lt-LT"/>
          <w14:ligatures w14:val="none"/>
        </w:rPr>
        <w:t>Ši</w:t>
      </w:r>
      <w:r w:rsidR="008E059E">
        <w:rPr>
          <w:rFonts w:ascii="Arial" w:hAnsi="Arial" w:eastAsia="Times New Roman" w:cs="Arial"/>
          <w:kern w:val="0"/>
          <w:sz w:val="20"/>
          <w:szCs w:val="20"/>
          <w:lang w:eastAsia="lt-LT"/>
          <w14:ligatures w14:val="none"/>
        </w:rPr>
        <w:t>s</w:t>
      </w:r>
      <w:r w:rsidRPr="008E059E" w:rsidR="000341BA">
        <w:rPr>
          <w:rFonts w:ascii="Arial" w:hAnsi="Arial" w:eastAsia="Times New Roman" w:cs="Arial"/>
          <w:kern w:val="0"/>
          <w:sz w:val="20"/>
          <w:szCs w:val="20"/>
          <w:lang w:eastAsia="lt-LT"/>
          <w14:ligatures w14:val="none"/>
        </w:rPr>
        <w:t xml:space="preserve"> </w:t>
      </w:r>
      <w:r w:rsidRPr="3864C823" w:rsidR="02F29486">
        <w:rPr>
          <w:rFonts w:ascii="Arial" w:hAnsi="Arial" w:eastAsia="Times New Roman" w:cs="Arial"/>
          <w:sz w:val="20"/>
          <w:szCs w:val="20"/>
          <w:lang w:eastAsia="lt-LT"/>
        </w:rPr>
        <w:t>EERP Teritorijos dokumento</w:t>
      </w:r>
      <w:r w:rsidRPr="3864C823" w:rsidR="000341BA">
        <w:rPr>
          <w:rFonts w:ascii="Arial" w:hAnsi="Arial" w:eastAsia="Times New Roman" w:cs="Arial"/>
          <w:sz w:val="20"/>
          <w:szCs w:val="20"/>
          <w:lang w:eastAsia="lt-LT"/>
        </w:rPr>
        <w:t xml:space="preserve"> </w:t>
      </w:r>
      <w:r w:rsidRPr="3864C823" w:rsidR="000341BA">
        <w:rPr>
          <w:rFonts w:ascii="Arial" w:hAnsi="Arial" w:eastAsia="Times New Roman" w:cs="Arial"/>
          <w:sz w:val="20"/>
          <w:szCs w:val="20"/>
          <w:lang w:eastAsia="lt-LT"/>
        </w:rPr>
        <w:t xml:space="preserve">priedas (toliau – Priedas) nustato atlygio EERP teikėjui už suteiktas </w:t>
      </w:r>
      <w:r w:rsidRPr="3864C823" w:rsidR="000B14AD">
        <w:rPr>
          <w:rFonts w:ascii="Arial" w:hAnsi="Arial" w:eastAsia="Times New Roman" w:cs="Arial"/>
          <w:sz w:val="20"/>
          <w:szCs w:val="20"/>
          <w:lang w:eastAsia="lt-LT"/>
        </w:rPr>
        <w:t xml:space="preserve">elektroninės </w:t>
      </w:r>
      <w:r w:rsidRPr="3864C823" w:rsidR="000341BA">
        <w:rPr>
          <w:rFonts w:ascii="Arial" w:hAnsi="Arial" w:eastAsia="Times New Roman" w:cs="Arial"/>
          <w:sz w:val="20"/>
          <w:szCs w:val="20"/>
          <w:lang w:eastAsia="lt-LT"/>
        </w:rPr>
        <w:t>kelių rinkliavos surinkimo paslaugas pagal š</w:t>
      </w:r>
      <w:r w:rsidRPr="3864C823" w:rsidR="7EEF9582">
        <w:rPr>
          <w:rFonts w:ascii="Arial" w:hAnsi="Arial" w:eastAsia="Times New Roman" w:cs="Arial"/>
          <w:sz w:val="20"/>
          <w:szCs w:val="20"/>
          <w:lang w:eastAsia="lt-LT"/>
        </w:rPr>
        <w:t>į Priedą</w:t>
      </w:r>
      <w:r w:rsidRPr="3864C823" w:rsidR="000341BA">
        <w:rPr>
          <w:rFonts w:ascii="Arial" w:hAnsi="Arial" w:eastAsia="Times New Roman" w:cs="Arial"/>
          <w:sz w:val="20"/>
          <w:szCs w:val="20"/>
          <w:lang w:eastAsia="lt-LT"/>
        </w:rPr>
        <w:t xml:space="preserve"> nustatymo, patvirtinimo ir išmokėjimo principus. </w:t>
      </w:r>
      <w:r w:rsidRPr="3864C823" w:rsidR="0001173D">
        <w:rPr>
          <w:rFonts w:ascii="Arial" w:hAnsi="Arial" w:eastAsia="Times New Roman" w:cs="Arial"/>
          <w:sz w:val="20"/>
          <w:szCs w:val="20"/>
          <w:lang w:eastAsia="lt-LT"/>
        </w:rPr>
        <w:t xml:space="preserve">Surenkama rinkliava - per ataskaitinį mėnesį mokėtina kelių rinkliavos suma už faktiškai transporto priemonės nuvažiuotą atstumą EERP teritorijoje, kurią EERP teikėjas privalo perduoti Rinkliavos rinkėjui pagal </w:t>
      </w:r>
      <w:r w:rsidRPr="3864C823" w:rsidR="5E211022">
        <w:rPr>
          <w:rFonts w:ascii="Arial" w:hAnsi="Arial" w:eastAsia="Times New Roman" w:cs="Arial"/>
          <w:sz w:val="20"/>
          <w:szCs w:val="20"/>
          <w:lang w:eastAsia="lt-LT"/>
        </w:rPr>
        <w:t xml:space="preserve">Paslaugų teikimo </w:t>
      </w:r>
      <w:r w:rsidRPr="3864C823" w:rsidR="5E211022">
        <w:rPr>
          <w:rFonts w:ascii="Arial" w:hAnsi="Arial" w:eastAsia="Times New Roman" w:cs="Arial"/>
          <w:sz w:val="20"/>
          <w:szCs w:val="20"/>
          <w:lang w:eastAsia="lt-LT"/>
        </w:rPr>
        <w:t>s</w:t>
      </w:r>
      <w:r w:rsidRPr="3864C823" w:rsidR="0001173D">
        <w:rPr>
          <w:rFonts w:ascii="Arial" w:hAnsi="Arial" w:eastAsia="Times New Roman" w:cs="Arial"/>
          <w:sz w:val="20"/>
          <w:szCs w:val="20"/>
          <w:lang w:eastAsia="lt-LT"/>
        </w:rPr>
        <w:t>utar</w:t>
      </w:r>
      <w:r w:rsidRPr="3864C823" w:rsidR="0001173D">
        <w:rPr>
          <w:rFonts w:ascii="Arial" w:hAnsi="Arial" w:eastAsia="Times New Roman" w:cs="Arial"/>
          <w:sz w:val="20"/>
          <w:szCs w:val="20"/>
          <w:lang w:eastAsia="lt-LT"/>
        </w:rPr>
        <w:t>ties ir taikomų teisės aktų reikalavimus, įskaitant per ataskaitinį mėnesį faktiškai surinktą rinkliavą ir rinkliavą, kuri pagal taikomus susitarimus (įskaitant mokėjimo atidėjimo, išdėstymo ar kitus mokėjimo grafiko susitarimus) bus surinkta vėliau. Šiame dokumente vartojami terminai „surenkama rinkliava“ ir „surinkta rinkliava“ turi tokią pačią reikšmę, nebent konkrečioje nuostatoje aiškiai nurodyta kitaip.</w:t>
      </w:r>
      <w:r w:rsidRPr="3864C823" w:rsidR="000341BA">
        <w:rPr>
          <w:rFonts w:ascii="Arial" w:hAnsi="Arial" w:eastAsia="Times New Roman" w:cs="Arial"/>
          <w:sz w:val="20"/>
          <w:szCs w:val="20"/>
          <w:lang w:eastAsia="lt-LT"/>
        </w:rPr>
        <w:t> </w:t>
      </w:r>
    </w:p>
    <w:p w:rsidRPr="008E059E" w:rsidR="000341BA" w:rsidP="000341BA" w:rsidRDefault="000341BA" w14:paraId="1000928F" w14:textId="77777777">
      <w:pPr>
        <w:pStyle w:val="ListParagraph"/>
        <w:numPr>
          <w:ilvl w:val="1"/>
          <w:numId w:val="3"/>
        </w:numPr>
        <w:spacing w:after="0" w:line="240" w:lineRule="auto"/>
        <w:ind w:left="851" w:hanging="851"/>
        <w:jc w:val="both"/>
        <w:textAlignment w:val="baseline"/>
        <w:rPr>
          <w:rFonts w:ascii="Arial" w:hAnsi="Arial" w:eastAsia="Times New Roman" w:cs="Arial"/>
          <w:kern w:val="0"/>
          <w:sz w:val="20"/>
          <w:szCs w:val="20"/>
          <w:lang w:eastAsia="lt-LT"/>
          <w14:ligatures w14:val="none"/>
        </w:rPr>
      </w:pPr>
      <w:r w:rsidRPr="008E059E">
        <w:rPr>
          <w:rFonts w:ascii="Arial" w:hAnsi="Arial" w:eastAsia="Times New Roman" w:cs="Arial"/>
          <w:kern w:val="0"/>
          <w:sz w:val="20"/>
          <w:szCs w:val="20"/>
          <w:lang w:eastAsia="lt-LT"/>
          <w14:ligatures w14:val="none"/>
        </w:rPr>
        <w:t>Rinkliavos rinkėjo EERP teikėjui mokamas atlygis nustatomas laikantis vienodų, nediskriminacinių sąlygų, skaidrumo, proporcingumo ir lygiateisiškumo principų.</w:t>
      </w:r>
      <w:r w:rsidRPr="008E059E">
        <w:rPr>
          <w:rFonts w:ascii="Arial" w:hAnsi="Arial" w:eastAsia="Times New Roman" w:cs="Arial"/>
          <w:color w:val="881798"/>
          <w:kern w:val="0"/>
          <w:sz w:val="20"/>
          <w:szCs w:val="20"/>
          <w:lang w:eastAsia="lt-LT"/>
          <w14:ligatures w14:val="none"/>
        </w:rPr>
        <w:t> </w:t>
      </w:r>
    </w:p>
    <w:p w:rsidRPr="008E059E" w:rsidR="000341BA" w:rsidP="000341BA" w:rsidRDefault="000341BA" w14:paraId="010334CC" w14:textId="77777777">
      <w:pPr>
        <w:pStyle w:val="ListParagraph"/>
        <w:numPr>
          <w:ilvl w:val="1"/>
          <w:numId w:val="3"/>
        </w:numPr>
        <w:spacing w:after="0" w:line="240" w:lineRule="auto"/>
        <w:ind w:left="851" w:hanging="851"/>
        <w:jc w:val="both"/>
        <w:textAlignment w:val="baseline"/>
        <w:rPr>
          <w:rFonts w:ascii="Arial" w:hAnsi="Arial" w:eastAsia="Times New Roman" w:cs="Arial"/>
          <w:kern w:val="0"/>
          <w:sz w:val="20"/>
          <w:szCs w:val="20"/>
          <w:lang w:eastAsia="lt-LT"/>
          <w14:ligatures w14:val="none"/>
        </w:rPr>
      </w:pPr>
      <w:r w:rsidRPr="008E059E">
        <w:rPr>
          <w:rFonts w:ascii="Arial" w:hAnsi="Arial" w:eastAsia="Times New Roman" w:cs="Arial"/>
          <w:kern w:val="0"/>
          <w:sz w:val="20"/>
          <w:szCs w:val="20"/>
          <w:lang w:eastAsia="lt-LT"/>
          <w14:ligatures w14:val="none"/>
        </w:rPr>
        <w:t>Atlygio dydžiai ir jų apskaičiavimo principai taikomi vienodai visiems EERP teikėjams, veikiantiems Lietuvos Respublikos Europos elektroninės kelių rinkliavos teritorijoje. </w:t>
      </w:r>
    </w:p>
    <w:p w:rsidRPr="008E059E" w:rsidR="000341BA" w:rsidP="000341BA" w:rsidRDefault="000341BA" w14:paraId="730D161A" w14:textId="77777777">
      <w:pPr>
        <w:spacing w:after="0" w:line="240" w:lineRule="auto"/>
        <w:ind w:left="851" w:hanging="851"/>
        <w:jc w:val="both"/>
        <w:textAlignment w:val="baseline"/>
        <w:rPr>
          <w:rFonts w:ascii="Arial" w:hAnsi="Arial" w:eastAsia="Times New Roman" w:cs="Arial"/>
          <w:kern w:val="0"/>
          <w:sz w:val="20"/>
          <w:szCs w:val="20"/>
          <w:lang w:eastAsia="lt-LT"/>
          <w14:ligatures w14:val="none"/>
        </w:rPr>
      </w:pPr>
      <w:r w:rsidRPr="008E059E">
        <w:rPr>
          <w:rFonts w:ascii="Arial" w:hAnsi="Arial" w:eastAsia="Times New Roman" w:cs="Arial"/>
          <w:kern w:val="0"/>
          <w:sz w:val="20"/>
          <w:szCs w:val="20"/>
          <w:lang w:eastAsia="lt-LT"/>
          <w14:ligatures w14:val="none"/>
        </w:rPr>
        <w:t> </w:t>
      </w:r>
    </w:p>
    <w:p w:rsidRPr="008E059E" w:rsidR="000341BA" w:rsidP="000341BA" w:rsidRDefault="000341BA" w14:paraId="5815D2CA" w14:textId="77777777">
      <w:pPr>
        <w:spacing w:after="0" w:line="240" w:lineRule="auto"/>
        <w:ind w:firstLine="360"/>
        <w:jc w:val="center"/>
        <w:textAlignment w:val="baseline"/>
        <w:rPr>
          <w:rFonts w:ascii="Arial" w:hAnsi="Arial" w:eastAsia="Times New Roman" w:cs="Arial"/>
          <w:kern w:val="0"/>
          <w:sz w:val="20"/>
          <w:szCs w:val="20"/>
          <w:lang w:eastAsia="lt-LT"/>
          <w14:ligatures w14:val="none"/>
        </w:rPr>
      </w:pPr>
      <w:r w:rsidRPr="008E059E">
        <w:rPr>
          <w:rFonts w:ascii="Arial" w:hAnsi="Arial" w:eastAsia="Times New Roman" w:cs="Arial"/>
          <w:b/>
          <w:bCs/>
          <w:kern w:val="0"/>
          <w:sz w:val="20"/>
          <w:szCs w:val="20"/>
          <w:lang w:eastAsia="lt-LT"/>
          <w14:ligatures w14:val="none"/>
        </w:rPr>
        <w:t>2. Atsiskaitymo periodiškumas</w:t>
      </w:r>
    </w:p>
    <w:p w:rsidRPr="008E059E" w:rsidR="000341BA" w:rsidP="000341BA" w:rsidRDefault="000341BA" w14:paraId="5844719D" w14:textId="77777777">
      <w:pPr>
        <w:spacing w:after="0" w:line="240" w:lineRule="auto"/>
        <w:ind w:firstLine="360"/>
        <w:jc w:val="both"/>
        <w:textAlignment w:val="baseline"/>
        <w:rPr>
          <w:rFonts w:ascii="Arial" w:hAnsi="Arial" w:eastAsia="Times New Roman" w:cs="Arial"/>
          <w:kern w:val="0"/>
          <w:sz w:val="20"/>
          <w:szCs w:val="20"/>
          <w:lang w:eastAsia="lt-LT"/>
          <w14:ligatures w14:val="none"/>
        </w:rPr>
      </w:pPr>
    </w:p>
    <w:p w:rsidRPr="008E059E" w:rsidR="000341BA" w:rsidP="000341BA" w:rsidRDefault="000341BA" w14:paraId="54C772E5" w14:textId="259A16FF">
      <w:pPr>
        <w:pStyle w:val="ListParagraph"/>
        <w:numPr>
          <w:ilvl w:val="1"/>
          <w:numId w:val="4"/>
        </w:numPr>
        <w:spacing w:after="0" w:line="240" w:lineRule="auto"/>
        <w:ind w:left="851" w:hanging="851"/>
        <w:jc w:val="both"/>
        <w:textAlignment w:val="baseline"/>
        <w:rPr>
          <w:rFonts w:ascii="Arial" w:hAnsi="Arial" w:eastAsia="Times New Roman" w:cs="Arial"/>
          <w:kern w:val="0"/>
          <w:sz w:val="20"/>
          <w:szCs w:val="20"/>
          <w:lang w:eastAsia="lt-LT"/>
          <w14:ligatures w14:val="none"/>
        </w:rPr>
      </w:pPr>
      <w:r w:rsidRPr="008E059E" w:rsidR="000341BA">
        <w:rPr>
          <w:rFonts w:ascii="Arial" w:hAnsi="Arial" w:eastAsia="Times New Roman" w:cs="Arial"/>
          <w:kern w:val="0"/>
          <w:sz w:val="20"/>
          <w:szCs w:val="20"/>
          <w:lang w:eastAsia="lt-LT"/>
          <w14:ligatures w14:val="none"/>
        </w:rPr>
        <w:t xml:space="preserve">Rinkliavos rinkėjo mokamas atlygis EERP teikėjui už elektroninės kelių rinkliavos paslaugų pagal </w:t>
      </w:r>
      <w:r w:rsidRPr="3864C823" w:rsidR="430CCF12">
        <w:rPr>
          <w:rFonts w:ascii="Arial" w:hAnsi="Arial" w:eastAsia="Times New Roman" w:cs="Arial"/>
          <w:sz w:val="20"/>
          <w:szCs w:val="20"/>
          <w:lang w:eastAsia="lt-LT"/>
        </w:rPr>
        <w:t>Paslaugų teikimo s</w:t>
      </w:r>
      <w:r w:rsidRPr="3864C823" w:rsidR="000341BA">
        <w:rPr>
          <w:rFonts w:ascii="Arial" w:hAnsi="Arial" w:eastAsia="Times New Roman" w:cs="Arial"/>
          <w:sz w:val="20"/>
          <w:szCs w:val="20"/>
          <w:lang w:eastAsia="lt-LT"/>
        </w:rPr>
        <w:t xml:space="preserve">utartį teikimą pervedamas </w:t>
      </w:r>
      <w:r w:rsidRPr="3864C823" w:rsidR="3604B503">
        <w:rPr>
          <w:rFonts w:ascii="Arial" w:hAnsi="Arial" w:eastAsia="Times New Roman" w:cs="Arial"/>
          <w:sz w:val="20"/>
          <w:szCs w:val="20"/>
          <w:lang w:eastAsia="lt-LT"/>
        </w:rPr>
        <w:t>Paslaugų teikimo s</w:t>
      </w:r>
      <w:r w:rsidRPr="3864C823" w:rsidR="000341BA">
        <w:rPr>
          <w:rFonts w:ascii="Arial" w:hAnsi="Arial" w:eastAsia="Times New Roman" w:cs="Arial"/>
          <w:sz w:val="20"/>
          <w:szCs w:val="20"/>
          <w:lang w:eastAsia="lt-LT"/>
        </w:rPr>
        <w:t>utartyje</w:t>
      </w:r>
      <w:r w:rsidRPr="3864C823" w:rsidR="000341BA">
        <w:rPr>
          <w:rFonts w:ascii="Arial" w:hAnsi="Arial" w:eastAsia="Times New Roman" w:cs="Arial"/>
          <w:sz w:val="20"/>
          <w:szCs w:val="20"/>
          <w:lang w:eastAsia="lt-LT"/>
        </w:rPr>
        <w:t xml:space="preserve"> nustatytu periodiškumu. </w:t>
      </w:r>
    </w:p>
    <w:p w:rsidRPr="008E059E" w:rsidR="000341BA" w:rsidP="000341BA" w:rsidRDefault="000341BA" w14:paraId="028F9363" w14:textId="10E7E766">
      <w:pPr>
        <w:pStyle w:val="ListParagraph"/>
        <w:numPr>
          <w:ilvl w:val="1"/>
          <w:numId w:val="4"/>
        </w:numPr>
        <w:spacing w:after="0" w:line="240" w:lineRule="auto"/>
        <w:ind w:left="851" w:hanging="851"/>
        <w:jc w:val="both"/>
        <w:textAlignment w:val="baseline"/>
        <w:rPr>
          <w:rFonts w:ascii="Arial" w:hAnsi="Arial" w:eastAsia="Times New Roman" w:cs="Arial"/>
          <w:kern w:val="0"/>
          <w:sz w:val="20"/>
          <w:szCs w:val="20"/>
          <w:lang w:eastAsia="lt-LT"/>
          <w14:ligatures w14:val="none"/>
        </w:rPr>
      </w:pPr>
      <w:r w:rsidRPr="008E059E">
        <w:rPr>
          <w:rFonts w:ascii="Arial" w:hAnsi="Arial" w:eastAsia="Times New Roman" w:cs="Arial"/>
          <w:kern w:val="0"/>
          <w:sz w:val="20"/>
          <w:szCs w:val="20"/>
          <w:lang w:eastAsia="lt-LT"/>
          <w14:ligatures w14:val="none"/>
        </w:rPr>
        <w:t xml:space="preserve">Priedo 2.1. punkte nurodytas atsiskaitymas atliekamas tik už faktiškai suteiktą ir Rinkliavos rinkėjo </w:t>
      </w:r>
      <w:r w:rsidRPr="008E059E" w:rsidR="000B14AD">
        <w:rPr>
          <w:rFonts w:ascii="Arial" w:hAnsi="Arial" w:eastAsia="Times New Roman" w:cs="Arial"/>
          <w:kern w:val="0"/>
          <w:sz w:val="20"/>
          <w:szCs w:val="20"/>
          <w:lang w:eastAsia="lt-LT"/>
          <w14:ligatures w14:val="none"/>
        </w:rPr>
        <w:t xml:space="preserve">patvirtintą </w:t>
      </w:r>
      <w:r w:rsidRPr="008E059E">
        <w:rPr>
          <w:rFonts w:ascii="Arial" w:hAnsi="Arial" w:eastAsia="Times New Roman" w:cs="Arial"/>
          <w:kern w:val="0"/>
          <w:sz w:val="20"/>
          <w:szCs w:val="20"/>
          <w:lang w:eastAsia="lt-LT"/>
          <w14:ligatures w14:val="none"/>
        </w:rPr>
        <w:t>paslaugų kiekį. </w:t>
      </w:r>
    </w:p>
    <w:p w:rsidRPr="008E059E" w:rsidR="000341BA" w:rsidP="000341BA" w:rsidRDefault="000341BA" w14:paraId="5915E86C" w14:textId="77777777">
      <w:pPr>
        <w:spacing w:after="0" w:line="240" w:lineRule="auto"/>
        <w:jc w:val="both"/>
        <w:textAlignment w:val="baseline"/>
        <w:rPr>
          <w:rFonts w:ascii="Arial" w:hAnsi="Arial" w:eastAsia="Times New Roman" w:cs="Arial"/>
          <w:kern w:val="0"/>
          <w:sz w:val="20"/>
          <w:szCs w:val="20"/>
          <w:lang w:eastAsia="lt-LT"/>
          <w14:ligatures w14:val="none"/>
        </w:rPr>
      </w:pPr>
      <w:r w:rsidRPr="008E059E">
        <w:rPr>
          <w:rFonts w:ascii="Arial" w:hAnsi="Arial" w:eastAsia="Times New Roman" w:cs="Arial"/>
          <w:kern w:val="0"/>
          <w:sz w:val="20"/>
          <w:szCs w:val="20"/>
          <w:lang w:eastAsia="lt-LT"/>
          <w14:ligatures w14:val="none"/>
        </w:rPr>
        <w:t> </w:t>
      </w:r>
    </w:p>
    <w:p w:rsidRPr="008E059E" w:rsidR="000341BA" w:rsidP="000341BA" w:rsidRDefault="000341BA" w14:paraId="38825E90" w14:textId="77777777">
      <w:pPr>
        <w:spacing w:after="0" w:line="240" w:lineRule="auto"/>
        <w:jc w:val="center"/>
        <w:textAlignment w:val="baseline"/>
        <w:rPr>
          <w:rFonts w:ascii="Arial" w:hAnsi="Arial" w:eastAsia="Times New Roman" w:cs="Arial"/>
          <w:b/>
          <w:bCs/>
          <w:kern w:val="0"/>
          <w:sz w:val="20"/>
          <w:szCs w:val="20"/>
          <w:lang w:eastAsia="lt-LT"/>
          <w14:ligatures w14:val="none"/>
        </w:rPr>
      </w:pPr>
      <w:r w:rsidRPr="008E059E">
        <w:rPr>
          <w:rFonts w:ascii="Arial" w:hAnsi="Arial" w:eastAsia="Times New Roman" w:cs="Arial"/>
          <w:b/>
          <w:sz w:val="20"/>
          <w:szCs w:val="20"/>
          <w:lang w:eastAsia="lt-LT"/>
        </w:rPr>
        <w:t xml:space="preserve">3. </w:t>
      </w:r>
      <w:r w:rsidRPr="008E059E">
        <w:rPr>
          <w:rFonts w:ascii="Arial" w:hAnsi="Arial" w:eastAsia="Times New Roman" w:cs="Arial"/>
          <w:b/>
          <w:bCs/>
          <w:kern w:val="0"/>
          <w:sz w:val="20"/>
          <w:szCs w:val="20"/>
          <w:lang w:eastAsia="lt-LT"/>
          <w14:ligatures w14:val="none"/>
        </w:rPr>
        <w:t>Atlygio apskaičiavimo formulė</w:t>
      </w:r>
    </w:p>
    <w:p w:rsidRPr="008E059E" w:rsidR="000341BA" w:rsidP="000341BA" w:rsidRDefault="000341BA" w14:paraId="7C72974C" w14:textId="77777777">
      <w:pPr>
        <w:pStyle w:val="ListParagraph"/>
        <w:spacing w:after="0" w:line="240" w:lineRule="auto"/>
        <w:ind w:left="360"/>
        <w:textAlignment w:val="baseline"/>
        <w:rPr>
          <w:rFonts w:ascii="Arial" w:hAnsi="Arial" w:eastAsia="Times New Roman" w:cs="Arial"/>
          <w:kern w:val="0"/>
          <w:sz w:val="20"/>
          <w:szCs w:val="20"/>
          <w:lang w:eastAsia="lt-LT"/>
          <w14:ligatures w14:val="none"/>
        </w:rPr>
      </w:pPr>
    </w:p>
    <w:p w:rsidRPr="008E059E" w:rsidR="000341BA" w:rsidP="000341BA" w:rsidRDefault="000341BA" w14:paraId="53232868" w14:textId="77777777">
      <w:pPr>
        <w:pStyle w:val="ListParagraph"/>
        <w:numPr>
          <w:ilvl w:val="1"/>
          <w:numId w:val="5"/>
        </w:numPr>
        <w:spacing w:after="0" w:line="240" w:lineRule="auto"/>
        <w:ind w:left="851" w:hanging="851"/>
        <w:jc w:val="both"/>
        <w:textAlignment w:val="baseline"/>
        <w:rPr>
          <w:rFonts w:ascii="Arial" w:hAnsi="Arial" w:eastAsia="Times New Roman" w:cs="Arial"/>
          <w:kern w:val="0"/>
          <w:sz w:val="20"/>
          <w:szCs w:val="20"/>
          <w:lang w:eastAsia="lt-LT"/>
          <w14:ligatures w14:val="none"/>
        </w:rPr>
      </w:pPr>
      <w:r w:rsidRPr="008E059E">
        <w:rPr>
          <w:rFonts w:ascii="Arial" w:hAnsi="Arial" w:eastAsia="Times New Roman" w:cs="Arial"/>
          <w:kern w:val="0"/>
          <w:sz w:val="20"/>
          <w:szCs w:val="20"/>
          <w:lang w:eastAsia="lt-LT"/>
          <w14:ligatures w14:val="none"/>
        </w:rPr>
        <w:t>EERP teikėjui mokėtinas atlygis apskaičiuojamas pagal šią formulę: </w:t>
      </w:r>
    </w:p>
    <w:p w:rsidRPr="008E059E" w:rsidR="000341BA" w:rsidP="000341BA" w:rsidRDefault="008037D3" w14:paraId="06D209E8" w14:textId="3D301CB5">
      <w:pPr>
        <w:spacing w:after="0" w:line="240" w:lineRule="auto"/>
        <w:jc w:val="both"/>
        <w:textAlignment w:val="baseline"/>
        <w:rPr>
          <w:rFonts w:ascii="Arial" w:hAnsi="Arial" w:eastAsia="Times New Roman" w:cs="Arial"/>
          <w:kern w:val="0"/>
          <w:sz w:val="20"/>
          <w:szCs w:val="20"/>
          <w:lang w:eastAsia="lt-LT"/>
          <w14:ligatures w14:val="none"/>
        </w:rPr>
      </w:pPr>
      <m:oMathPara>
        <m:oMath>
          <m:sSub>
            <m:sSubPr>
              <m:ctrlPr>
                <w:rPr>
                  <w:rFonts w:ascii="Cambria Math" w:hAnsi="Cambria Math" w:eastAsia="Times New Roman" w:cs="Arial"/>
                  <w:kern w:val="0"/>
                  <w:sz w:val="20"/>
                  <w:szCs w:val="20"/>
                  <w:lang w:eastAsia="lt-LT"/>
                  <w14:ligatures w14:val="none"/>
                </w:rPr>
              </m:ctrlPr>
            </m:sSubPr>
            <m:e>
              <m:r>
                <w:rPr>
                  <w:rFonts w:ascii="Cambria Math" w:hAnsi="Cambria Math" w:eastAsia="Times New Roman" w:cs="Arial"/>
                  <w:kern w:val="0"/>
                  <w:sz w:val="20"/>
                  <w:szCs w:val="20"/>
                  <w:lang w:eastAsia="lt-LT"/>
                  <w14:ligatures w14:val="none"/>
                </w:rPr>
                <m:t>EERP</m:t>
              </m:r>
              <m:ctrlPr>
                <w:rPr>
                  <w:rFonts w:ascii="Cambria Math" w:hAnsi="Cambria Math" w:eastAsia="Times New Roman" w:cs="Arial"/>
                  <w:i/>
                  <w:kern w:val="0"/>
                  <w:sz w:val="20"/>
                  <w:szCs w:val="20"/>
                  <w:lang w:eastAsia="lt-LT"/>
                  <w14:ligatures w14:val="none"/>
                </w:rPr>
              </m:ctrlPr>
            </m:e>
            <m:sub>
              <m:r>
                <w:rPr>
                  <w:rFonts w:ascii="Cambria Math" w:hAnsi="Cambria Math" w:eastAsia="Times New Roman" w:cs="Arial"/>
                  <w:kern w:val="0"/>
                  <w:sz w:val="20"/>
                  <w:szCs w:val="20"/>
                  <w:lang w:eastAsia="lt-LT"/>
                  <w14:ligatures w14:val="none"/>
                </w:rPr>
                <m:t>atlygis</m:t>
              </m:r>
            </m:sub>
          </m:sSub>
          <m:r>
            <w:rPr>
              <w:rFonts w:ascii="Cambria Math" w:hAnsi="Cambria Math" w:eastAsia="Times New Roman" w:cs="Arial"/>
              <w:kern w:val="0"/>
              <w:sz w:val="20"/>
              <w:szCs w:val="20"/>
              <w:lang w:eastAsia="lt-LT"/>
              <w14:ligatures w14:val="none"/>
            </w:rPr>
            <m:t>=</m:t>
          </m:r>
          <m:sSub>
            <m:sSubPr>
              <m:ctrlPr>
                <w:rPr>
                  <w:rFonts w:ascii="Cambria Math" w:hAnsi="Cambria Math" w:eastAsia="Times New Roman" w:cs="Arial"/>
                  <w:i/>
                  <w:kern w:val="0"/>
                  <w:sz w:val="20"/>
                  <w:szCs w:val="20"/>
                  <w:lang w:eastAsia="lt-LT"/>
                  <w14:ligatures w14:val="none"/>
                </w:rPr>
              </m:ctrlPr>
            </m:sSubPr>
            <m:e>
              <m:r>
                <w:rPr>
                  <w:rFonts w:ascii="Cambria Math" w:hAnsi="Cambria Math" w:eastAsia="Times New Roman" w:cs="Arial"/>
                  <w:kern w:val="0"/>
                  <w:sz w:val="20"/>
                  <w:szCs w:val="20"/>
                  <w:lang w:eastAsia="lt-LT"/>
                  <w14:ligatures w14:val="none"/>
                </w:rPr>
                <m:t>Atlygis</m:t>
              </m:r>
            </m:e>
            <m:sub>
              <m:r>
                <w:rPr>
                  <w:rFonts w:ascii="Cambria Math" w:hAnsi="Cambria Math" w:eastAsia="Times New Roman" w:cs="Arial"/>
                  <w:kern w:val="0"/>
                  <w:sz w:val="20"/>
                  <w:szCs w:val="20"/>
                  <w:lang w:eastAsia="lt-LT"/>
                  <w14:ligatures w14:val="none"/>
                </w:rPr>
                <m:t>proc</m:t>
              </m:r>
            </m:sub>
          </m:sSub>
          <m:r>
            <w:rPr>
              <w:rFonts w:ascii="Cambria Math" w:hAnsi="Cambria Math" w:eastAsia="Times New Roman" w:cs="Arial"/>
              <w:kern w:val="0"/>
              <w:sz w:val="20"/>
              <w:szCs w:val="20"/>
              <w:lang w:eastAsia="lt-LT"/>
              <w14:ligatures w14:val="none"/>
            </w:rPr>
            <m:t>*SurinktaRinkliava+</m:t>
          </m:r>
          <m:r>
            <w:rPr>
              <w:rFonts w:ascii="Cambria Math" w:hAnsi="Cambria Math" w:eastAsia="Times New Roman" w:cs="Arial"/>
              <w:kern w:val="0"/>
              <w:sz w:val="20"/>
              <w:szCs w:val="20"/>
              <w:lang w:val="en-US" w:eastAsia="lt-LT"/>
              <w14:ligatures w14:val="none"/>
            </w:rPr>
            <m:t>Ak</m:t>
          </m:r>
          <m:r>
            <w:rPr>
              <w:rFonts w:ascii="Cambria Math" w:hAnsi="Cambria Math" w:eastAsia="Times New Roman" w:cs="Arial"/>
              <w:kern w:val="0"/>
              <w:sz w:val="20"/>
              <w:szCs w:val="20"/>
              <w:lang w:eastAsia="lt-LT"/>
              <w14:ligatures w14:val="none"/>
            </w:rPr>
            <m:t>tyviųTPMĮskaičius*</m:t>
          </m:r>
          <m:sSub>
            <m:sSubPr>
              <m:ctrlPr>
                <w:rPr>
                  <w:rFonts w:ascii="Cambria Math" w:hAnsi="Cambria Math" w:eastAsia="Times New Roman" w:cs="Arial"/>
                  <w:i/>
                  <w:kern w:val="0"/>
                  <w:sz w:val="20"/>
                  <w:szCs w:val="20"/>
                  <w:lang w:eastAsia="lt-LT"/>
                  <w14:ligatures w14:val="none"/>
                </w:rPr>
              </m:ctrlPr>
            </m:sSubPr>
            <m:e>
              <m:r>
                <w:rPr>
                  <w:rFonts w:ascii="Cambria Math" w:hAnsi="Cambria Math" w:eastAsia="Times New Roman" w:cs="Arial"/>
                  <w:kern w:val="0"/>
                  <w:sz w:val="20"/>
                  <w:szCs w:val="20"/>
                  <w:lang w:eastAsia="lt-LT"/>
                  <w14:ligatures w14:val="none"/>
                </w:rPr>
                <m:t>Atlygis</m:t>
              </m:r>
            </m:e>
            <m:sub>
              <m:r>
                <w:rPr>
                  <w:rFonts w:ascii="Cambria Math" w:hAnsi="Cambria Math" w:eastAsia="Times New Roman" w:cs="Arial"/>
                  <w:kern w:val="0"/>
                  <w:sz w:val="20"/>
                  <w:szCs w:val="20"/>
                  <w:lang w:eastAsia="lt-LT"/>
                  <w14:ligatures w14:val="none"/>
                </w:rPr>
                <m:t>fiks</m:t>
              </m:r>
            </m:sub>
          </m:sSub>
          <m:r>
            <m:rPr>
              <m:sty m:val="p"/>
            </m:rPr>
            <w:rPr>
              <w:rFonts w:ascii="Cambria Math" w:hAnsi="Cambria Math" w:eastAsia="Times New Roman" w:cs="Arial"/>
              <w:kern w:val="0"/>
              <w:sz w:val="20"/>
              <w:szCs w:val="20"/>
              <w:lang w:eastAsia="lt-LT"/>
              <w14:ligatures w14:val="none"/>
            </w:rPr>
            <w:br/>
          </m:r>
        </m:oMath>
      </m:oMathPara>
    </w:p>
    <w:p w:rsidRPr="008E059E" w:rsidR="00CE1A25" w:rsidP="000341BA" w:rsidRDefault="00CE1A25" w14:paraId="2997D08C" w14:textId="77777777">
      <w:pPr>
        <w:spacing w:after="0" w:line="240" w:lineRule="auto"/>
        <w:jc w:val="both"/>
        <w:textAlignment w:val="baseline"/>
        <w:rPr>
          <w:rFonts w:ascii="Arial" w:hAnsi="Arial" w:eastAsia="Times New Roman" w:cs="Arial"/>
          <w:kern w:val="0"/>
          <w:sz w:val="20"/>
          <w:szCs w:val="20"/>
          <w:lang w:eastAsia="lt-LT"/>
          <w14:ligatures w14:val="none"/>
        </w:rPr>
      </w:pPr>
    </w:p>
    <w:p w:rsidRPr="008E059E" w:rsidR="000341BA" w:rsidP="000341BA" w:rsidRDefault="000341BA" w14:paraId="42D2C0E1" w14:textId="68004343">
      <w:pPr>
        <w:spacing w:after="0" w:line="240" w:lineRule="auto"/>
        <w:jc w:val="both"/>
        <w:textAlignment w:val="baseline"/>
        <w:rPr>
          <w:rFonts w:ascii="Arial" w:hAnsi="Arial" w:eastAsia="Times New Roman" w:cs="Arial"/>
          <w:kern w:val="0"/>
          <w:sz w:val="20"/>
          <w:szCs w:val="20"/>
          <w:lang w:eastAsia="lt-LT"/>
          <w14:ligatures w14:val="none"/>
        </w:rPr>
      </w:pPr>
      <w:r w:rsidRPr="008E059E">
        <w:rPr>
          <w:rFonts w:ascii="Arial" w:hAnsi="Arial" w:eastAsia="Times New Roman" w:cs="Arial"/>
          <w:kern w:val="0"/>
          <w:sz w:val="20"/>
          <w:szCs w:val="20"/>
          <w:lang w:eastAsia="lt-LT"/>
          <w14:ligatures w14:val="none"/>
        </w:rPr>
        <w:t>K</w:t>
      </w:r>
      <w:r w:rsidRPr="008E059E" w:rsidR="00F415F8">
        <w:rPr>
          <w:rFonts w:ascii="Arial" w:hAnsi="Arial" w:eastAsia="Times New Roman" w:cs="Arial"/>
          <w:kern w:val="0"/>
          <w:sz w:val="20"/>
          <w:szCs w:val="20"/>
          <w:lang w:eastAsia="lt-LT"/>
          <w14:ligatures w14:val="none"/>
        </w:rPr>
        <w:t>ur</w:t>
      </w:r>
      <w:r w:rsidRPr="008E059E">
        <w:rPr>
          <w:rFonts w:ascii="Arial" w:hAnsi="Arial" w:eastAsia="Times New Roman" w:cs="Arial"/>
          <w:kern w:val="0"/>
          <w:sz w:val="20"/>
          <w:szCs w:val="20"/>
          <w:lang w:eastAsia="lt-LT"/>
          <w14:ligatures w14:val="none"/>
        </w:rPr>
        <w:t>:  </w:t>
      </w:r>
    </w:p>
    <w:p w:rsidRPr="008E059E" w:rsidR="000341BA" w:rsidP="000341BA" w:rsidRDefault="008037D3" w14:paraId="2A3E490A" w14:textId="77777777">
      <w:pPr>
        <w:shd w:val="clear" w:color="auto" w:fill="FFFFFF"/>
        <w:spacing w:after="0" w:line="240" w:lineRule="auto"/>
        <w:jc w:val="both"/>
        <w:rPr>
          <w:rFonts w:ascii="Arial" w:hAnsi="Arial" w:eastAsia="Times New Roman" w:cs="Arial"/>
          <w:color w:val="000000"/>
          <w:kern w:val="0"/>
          <w:sz w:val="20"/>
          <w:szCs w:val="20"/>
          <w:lang w:eastAsia="lt-LT"/>
          <w14:ligatures w14:val="none"/>
        </w:rPr>
      </w:pPr>
      <m:oMathPara>
        <m:oMath>
          <m:sSub>
            <m:sSubPr>
              <m:ctrlPr>
                <w:rPr>
                  <w:rFonts w:ascii="Cambria Math" w:hAnsi="Cambria Math" w:eastAsia="Times New Roman" w:cs="Arial"/>
                  <w:kern w:val="0"/>
                  <w:sz w:val="20"/>
                  <w:szCs w:val="20"/>
                  <w:lang w:eastAsia="lt-LT"/>
                  <w14:ligatures w14:val="none"/>
                </w:rPr>
              </m:ctrlPr>
            </m:sSubPr>
            <m:e>
              <m:r>
                <m:rPr>
                  <m:sty m:val="bi"/>
                </m:rPr>
                <w:rPr>
                  <w:rFonts w:ascii="Cambria Math" w:hAnsi="Cambria Math" w:eastAsia="Times New Roman" w:cs="Arial"/>
                  <w:kern w:val="0"/>
                  <w:sz w:val="20"/>
                  <w:szCs w:val="20"/>
                  <w:lang w:eastAsia="lt-LT"/>
                  <w14:ligatures w14:val="none"/>
                </w:rPr>
                <m:t>EERP</m:t>
              </m:r>
            </m:e>
            <m:sub>
              <m:r>
                <m:rPr>
                  <m:sty m:val="bi"/>
                </m:rPr>
                <w:rPr>
                  <w:rFonts w:ascii="Cambria Math" w:hAnsi="Cambria Math" w:eastAsia="Times New Roman" w:cs="Arial"/>
                  <w:kern w:val="0"/>
                  <w:sz w:val="20"/>
                  <w:szCs w:val="20"/>
                  <w:lang w:eastAsia="lt-LT"/>
                  <w14:ligatures w14:val="none"/>
                </w:rPr>
                <m:t>atlygis</m:t>
              </m:r>
            </m:sub>
          </m:sSub>
          <m:r>
            <m:rPr>
              <m:sty m:val="p"/>
            </m:rPr>
            <w:rPr>
              <w:rFonts w:ascii="Cambria Math" w:hAnsi="Cambria Math" w:eastAsia="Times New Roman" w:cs="Arial"/>
              <w:kern w:val="0"/>
              <w:sz w:val="20"/>
              <w:szCs w:val="20"/>
              <w:lang w:eastAsia="lt-LT"/>
              <w14:ligatures w14:val="none"/>
            </w:rPr>
            <w:br/>
          </m:r>
        </m:oMath>
      </m:oMathPara>
    </w:p>
    <w:p w:rsidRPr="008E059E" w:rsidR="000341BA" w:rsidP="000341BA" w:rsidRDefault="000341BA" w14:paraId="3284BB2F" w14:textId="31CFE76E">
      <w:pPr>
        <w:shd w:val="clear" w:color="auto" w:fill="FFFFFF"/>
        <w:spacing w:after="0" w:line="240" w:lineRule="auto"/>
        <w:ind w:firstLine="993"/>
        <w:jc w:val="both"/>
        <w:rPr>
          <w:rFonts w:ascii="Arial" w:hAnsi="Arial" w:eastAsia="Times New Roman" w:cs="Arial"/>
          <w:color w:val="000000"/>
          <w:kern w:val="0"/>
          <w:sz w:val="20"/>
          <w:szCs w:val="20"/>
          <w:lang w:eastAsia="lt-LT"/>
          <w14:ligatures w14:val="none"/>
        </w:rPr>
      </w:pPr>
      <w:r w:rsidRPr="008E059E">
        <w:rPr>
          <w:rFonts w:ascii="Arial" w:hAnsi="Arial" w:eastAsia="Times New Roman" w:cs="Arial"/>
          <w:color w:val="000000"/>
          <w:kern w:val="0"/>
          <w:sz w:val="20"/>
          <w:szCs w:val="20"/>
          <w:lang w:eastAsia="lt-LT"/>
          <w14:ligatures w14:val="none"/>
        </w:rPr>
        <w:t xml:space="preserve">– atlygis EERP teikėjui už surinktą </w:t>
      </w:r>
      <w:r w:rsidRPr="008E059E" w:rsidR="000B14AD">
        <w:rPr>
          <w:rFonts w:ascii="Arial" w:hAnsi="Arial" w:eastAsia="Times New Roman" w:cs="Arial"/>
          <w:color w:val="000000"/>
          <w:kern w:val="0"/>
          <w:sz w:val="20"/>
          <w:szCs w:val="20"/>
          <w:lang w:eastAsia="lt-LT"/>
          <w14:ligatures w14:val="none"/>
        </w:rPr>
        <w:t xml:space="preserve">elektroninę kelių </w:t>
      </w:r>
      <w:r w:rsidRPr="008E059E">
        <w:rPr>
          <w:rFonts w:ascii="Arial" w:hAnsi="Arial" w:eastAsia="Times New Roman" w:cs="Arial"/>
          <w:color w:val="000000"/>
          <w:kern w:val="0"/>
          <w:sz w:val="20"/>
          <w:szCs w:val="20"/>
          <w:lang w:eastAsia="lt-LT"/>
          <w14:ligatures w14:val="none"/>
        </w:rPr>
        <w:t>rinkliavą, skaičiuojamas kartą per mėnesį, matuojamas eurais;  </w:t>
      </w:r>
    </w:p>
    <w:p w:rsidRPr="008E059E" w:rsidR="000341BA" w:rsidP="000341BA" w:rsidRDefault="008037D3" w14:paraId="290DB68B" w14:textId="0EF9202B">
      <w:pPr>
        <w:shd w:val="clear" w:color="auto" w:fill="FFFFFF"/>
        <w:spacing w:after="0" w:line="240" w:lineRule="auto"/>
        <w:ind w:firstLine="993"/>
        <w:jc w:val="both"/>
        <w:rPr>
          <w:rFonts w:ascii="Arial" w:hAnsi="Arial" w:eastAsia="Times New Roman" w:cs="Arial"/>
          <w:color w:val="000000"/>
          <w:kern w:val="0"/>
          <w:sz w:val="20"/>
          <w:szCs w:val="20"/>
          <w:lang w:eastAsia="lt-LT"/>
          <w14:ligatures w14:val="none"/>
        </w:rPr>
      </w:pPr>
      <m:oMathPara>
        <m:oMath>
          <m:sSub>
            <m:sSubPr>
              <m:ctrlPr>
                <w:rPr>
                  <w:rFonts w:ascii="Cambria Math" w:hAnsi="Cambria Math" w:eastAsia="Times New Roman" w:cs="Arial"/>
                  <w:kern w:val="0"/>
                  <w:sz w:val="20"/>
                  <w:szCs w:val="20"/>
                  <w:lang w:eastAsia="lt-LT"/>
                  <w14:ligatures w14:val="none"/>
                </w:rPr>
              </m:ctrlPr>
            </m:sSubPr>
            <m:e>
              <m:r>
                <m:rPr>
                  <m:sty m:val="bi"/>
                </m:rPr>
                <w:rPr>
                  <w:rFonts w:ascii="Cambria Math" w:hAnsi="Cambria Math" w:eastAsia="Times New Roman" w:cs="Arial"/>
                  <w:kern w:val="0"/>
                  <w:sz w:val="20"/>
                  <w:szCs w:val="20"/>
                  <w:lang w:eastAsia="lt-LT"/>
                  <w14:ligatures w14:val="none"/>
                </w:rPr>
                <m:t>Atlygis</m:t>
              </m:r>
            </m:e>
            <m:sub>
              <m:r>
                <m:rPr>
                  <m:sty m:val="bi"/>
                </m:rPr>
                <w:rPr>
                  <w:rFonts w:ascii="Cambria Math" w:hAnsi="Cambria Math" w:eastAsia="Times New Roman" w:cs="Arial"/>
                  <w:kern w:val="0"/>
                  <w:sz w:val="20"/>
                  <w:szCs w:val="20"/>
                  <w:lang w:eastAsia="lt-LT"/>
                  <w14:ligatures w14:val="none"/>
                </w:rPr>
                <m:t>proc</m:t>
              </m:r>
            </m:sub>
          </m:sSub>
          <m:r>
            <m:rPr>
              <m:sty m:val="p"/>
            </m:rPr>
            <w:rPr>
              <w:rFonts w:ascii="Cambria Math" w:hAnsi="Cambria Math" w:eastAsia="Times New Roman" w:cs="Arial"/>
              <w:kern w:val="0"/>
              <w:sz w:val="20"/>
              <w:szCs w:val="20"/>
              <w:lang w:eastAsia="lt-LT"/>
              <w14:ligatures w14:val="none"/>
            </w:rPr>
            <w:br/>
          </m:r>
        </m:oMath>
      </m:oMathPara>
    </w:p>
    <w:p w:rsidRPr="008E059E" w:rsidR="000341BA" w:rsidP="000341BA" w:rsidRDefault="000341BA" w14:paraId="0E20BC61" w14:textId="2A9EE386">
      <w:pPr>
        <w:shd w:val="clear" w:color="auto" w:fill="FFFFFF"/>
        <w:spacing w:after="0" w:line="240" w:lineRule="auto"/>
        <w:ind w:firstLine="993"/>
        <w:jc w:val="both"/>
        <w:rPr>
          <w:rFonts w:ascii="Arial" w:hAnsi="Arial" w:eastAsia="Times New Roman" w:cs="Arial"/>
          <w:color w:val="000000"/>
          <w:kern w:val="0"/>
          <w:sz w:val="20"/>
          <w:szCs w:val="20"/>
          <w:lang w:eastAsia="lt-LT"/>
          <w14:ligatures w14:val="none"/>
        </w:rPr>
      </w:pPr>
      <w:r w:rsidRPr="008E059E">
        <w:rPr>
          <w:rFonts w:ascii="Arial" w:hAnsi="Arial" w:eastAsia="Times New Roman" w:cs="Arial"/>
          <w:color w:val="000000"/>
          <w:kern w:val="0"/>
          <w:sz w:val="20"/>
          <w:szCs w:val="20"/>
          <w:lang w:eastAsia="lt-LT"/>
          <w14:ligatures w14:val="none"/>
        </w:rPr>
        <w:t xml:space="preserve">– fiksuota procentinė dalis, skiriama EERP teikėjui už surinktą </w:t>
      </w:r>
      <w:r w:rsidRPr="008E059E" w:rsidR="000B14AD">
        <w:rPr>
          <w:rFonts w:ascii="Arial" w:hAnsi="Arial" w:eastAsia="Times New Roman" w:cs="Arial"/>
          <w:color w:val="000000"/>
          <w:kern w:val="0"/>
          <w:sz w:val="20"/>
          <w:szCs w:val="20"/>
          <w:lang w:eastAsia="lt-LT"/>
          <w14:ligatures w14:val="none"/>
        </w:rPr>
        <w:t xml:space="preserve">elektroninę </w:t>
      </w:r>
      <w:r w:rsidRPr="008E059E">
        <w:rPr>
          <w:rFonts w:ascii="Arial" w:hAnsi="Arial" w:eastAsia="Times New Roman" w:cs="Arial"/>
          <w:color w:val="000000"/>
          <w:kern w:val="0"/>
          <w:sz w:val="20"/>
          <w:szCs w:val="20"/>
          <w:lang w:eastAsia="lt-LT"/>
          <w14:ligatures w14:val="none"/>
        </w:rPr>
        <w:t>kelių rinkliavą;  </w:t>
      </w:r>
    </w:p>
    <w:p w:rsidRPr="008E059E" w:rsidR="006356A0" w:rsidP="000341BA" w:rsidRDefault="006356A0" w14:paraId="103E87FC" w14:textId="77777777">
      <w:pPr>
        <w:shd w:val="clear" w:color="auto" w:fill="FFFFFF"/>
        <w:spacing w:after="0" w:line="240" w:lineRule="auto"/>
        <w:ind w:firstLine="993"/>
        <w:jc w:val="both"/>
        <w:rPr>
          <w:rFonts w:ascii="Arial" w:hAnsi="Arial" w:eastAsia="Times New Roman" w:cs="Arial"/>
          <w:color w:val="000000"/>
          <w:kern w:val="0"/>
          <w:sz w:val="20"/>
          <w:szCs w:val="20"/>
          <w:lang w:eastAsia="lt-LT"/>
          <w14:ligatures w14:val="none"/>
        </w:rPr>
      </w:pPr>
    </w:p>
    <w:p w:rsidRPr="008E059E" w:rsidR="000341BA" w:rsidP="006166B7" w:rsidRDefault="008037D3" w14:paraId="18E78C77" w14:textId="022A5C0B">
      <w:pPr>
        <w:shd w:val="clear" w:color="auto" w:fill="FFFFFF"/>
        <w:spacing w:after="0" w:line="240" w:lineRule="auto"/>
        <w:jc w:val="center"/>
        <w:rPr>
          <w:rFonts w:ascii="Arial" w:hAnsi="Arial" w:eastAsia="Times New Roman" w:cs="Arial"/>
          <w:b/>
          <w:bCs/>
          <w:kern w:val="0"/>
          <w:sz w:val="20"/>
          <w:szCs w:val="20"/>
          <w:lang w:eastAsia="lt-LT"/>
          <w14:ligatures w14:val="none"/>
        </w:rPr>
      </w:pPr>
      <m:oMath>
        <m:sSub>
          <m:sSubPr>
            <m:ctrlPr>
              <w:rPr>
                <w:rFonts w:ascii="Cambria Math" w:hAnsi="Cambria Math" w:eastAsia="Times New Roman" w:cs="Arial"/>
                <w:kern w:val="0"/>
                <w:sz w:val="20"/>
                <w:szCs w:val="20"/>
                <w:lang w:eastAsia="lt-LT"/>
                <w14:ligatures w14:val="none"/>
              </w:rPr>
            </m:ctrlPr>
          </m:sSubPr>
          <m:e>
            <m:r>
              <m:rPr>
                <m:sty m:val="bi"/>
              </m:rPr>
              <w:rPr>
                <w:rFonts w:ascii="Cambria Math" w:hAnsi="Cambria Math" w:eastAsia="Times New Roman" w:cs="Arial"/>
                <w:kern w:val="0"/>
                <w:sz w:val="20"/>
                <w:szCs w:val="20"/>
                <w:lang w:eastAsia="lt-LT"/>
                <w14:ligatures w14:val="none"/>
              </w:rPr>
              <m:t>Atlygis</m:t>
            </m:r>
          </m:e>
          <m:sub>
            <m:r>
              <w:rPr>
                <w:rFonts w:ascii="Cambria Math" w:hAnsi="Cambria Math" w:eastAsia="Times New Roman" w:cs="Arial"/>
                <w:kern w:val="0"/>
                <w:sz w:val="20"/>
                <w:szCs w:val="20"/>
                <w:lang w:eastAsia="lt-LT"/>
                <w14:ligatures w14:val="none"/>
              </w:rPr>
              <m:t>fiks</m:t>
            </m:r>
          </m:sub>
        </m:sSub>
      </m:oMath>
      <w:r w:rsidRPr="008E059E" w:rsidR="00DB03C7">
        <w:rPr>
          <w:rFonts w:ascii="Arial" w:hAnsi="Arial" w:eastAsia="Times New Roman" w:cs="Arial"/>
          <w:kern w:val="0"/>
          <w:sz w:val="20"/>
          <w:szCs w:val="20"/>
          <w:lang w:eastAsia="lt-LT"/>
          <w14:ligatures w14:val="none"/>
        </w:rPr>
        <w:t xml:space="preserve"> </w:t>
      </w:r>
      <w:r w:rsidRPr="008E059E" w:rsidR="00D83B81">
        <w:rPr>
          <w:rFonts w:ascii="Arial" w:hAnsi="Arial" w:eastAsia="Times New Roman" w:cs="Arial"/>
          <w:kern w:val="0"/>
          <w:sz w:val="20"/>
          <w:szCs w:val="20"/>
          <w:lang w:eastAsia="lt-LT"/>
          <w14:ligatures w14:val="none"/>
        </w:rPr>
        <w:t xml:space="preserve"> </w:t>
      </w:r>
      <w:r w:rsidRPr="008E059E" w:rsidR="00ED780A">
        <w:rPr>
          <w:rFonts w:ascii="Arial" w:hAnsi="Arial" w:eastAsia="Times New Roman" w:cs="Arial"/>
          <w:kern w:val="0"/>
          <w:sz w:val="20"/>
          <w:szCs w:val="20"/>
          <w:lang w:eastAsia="lt-LT"/>
          <w14:ligatures w14:val="none"/>
        </w:rPr>
        <w:t xml:space="preserve"> </w:t>
      </w:r>
      <w:r w:rsidRPr="008E059E" w:rsidDel="00B064C8" w:rsidR="0059468A">
        <w:rPr>
          <w:rFonts w:ascii="Arial" w:hAnsi="Arial" w:eastAsia="Times New Roman" w:cs="Arial"/>
          <w:kern w:val="0"/>
          <w:sz w:val="20"/>
          <w:szCs w:val="20"/>
          <w:lang w:eastAsia="lt-LT"/>
          <w14:ligatures w14:val="none"/>
        </w:rPr>
        <w:br/>
      </w:r>
    </w:p>
    <w:p w:rsidRPr="008E059E" w:rsidR="000341BA" w:rsidP="000341BA" w:rsidRDefault="000341BA" w14:paraId="06045FB1" w14:textId="5BB202A6">
      <w:pPr>
        <w:shd w:val="clear" w:color="auto" w:fill="FFFFFF"/>
        <w:spacing w:after="0" w:line="240" w:lineRule="auto"/>
        <w:ind w:firstLine="993"/>
        <w:jc w:val="both"/>
        <w:rPr>
          <w:rFonts w:ascii="Arial" w:hAnsi="Arial" w:eastAsia="Times New Roman" w:cs="Arial"/>
          <w:kern w:val="0"/>
          <w:sz w:val="20"/>
          <w:szCs w:val="20"/>
          <w:lang w:eastAsia="lt-LT"/>
          <w14:ligatures w14:val="none"/>
        </w:rPr>
      </w:pPr>
      <w:r w:rsidRPr="008E059E">
        <w:rPr>
          <w:rFonts w:ascii="Arial" w:hAnsi="Arial" w:eastAsia="Times New Roman" w:cs="Arial"/>
          <w:kern w:val="0"/>
          <w:sz w:val="20"/>
          <w:szCs w:val="20"/>
          <w:lang w:eastAsia="lt-LT"/>
          <w14:ligatures w14:val="none"/>
        </w:rPr>
        <w:t xml:space="preserve">-  </w:t>
      </w:r>
      <w:r w:rsidRPr="008E059E" w:rsidR="00414065">
        <w:rPr>
          <w:rFonts w:ascii="Arial" w:hAnsi="Arial" w:eastAsia="Times New Roman" w:cs="Arial"/>
          <w:color w:val="000000"/>
          <w:kern w:val="0"/>
          <w:sz w:val="20"/>
          <w:szCs w:val="20"/>
          <w:lang w:eastAsia="lt-LT"/>
          <w14:ligatures w14:val="none"/>
        </w:rPr>
        <w:t>fiksuota atlygio dalis</w:t>
      </w:r>
      <w:r w:rsidRPr="008E059E" w:rsidR="00055102">
        <w:rPr>
          <w:rFonts w:ascii="Arial" w:hAnsi="Arial" w:eastAsia="Times New Roman" w:cs="Arial"/>
          <w:color w:val="000000"/>
          <w:kern w:val="0"/>
          <w:sz w:val="20"/>
          <w:szCs w:val="20"/>
          <w:lang w:eastAsia="lt-LT"/>
          <w14:ligatures w14:val="none"/>
        </w:rPr>
        <w:t xml:space="preserve"> Eur</w:t>
      </w:r>
      <w:r w:rsidRPr="008E059E" w:rsidR="00414065">
        <w:rPr>
          <w:rFonts w:ascii="Arial" w:hAnsi="Arial" w:eastAsia="Times New Roman" w:cs="Arial"/>
          <w:color w:val="000000"/>
          <w:kern w:val="0"/>
          <w:sz w:val="20"/>
          <w:szCs w:val="20"/>
          <w:lang w:eastAsia="lt-LT"/>
          <w14:ligatures w14:val="none"/>
        </w:rPr>
        <w:t xml:space="preserve">, skiriama EERP teikėjui už </w:t>
      </w:r>
      <w:r w:rsidRPr="008E059E" w:rsidR="00F04717">
        <w:rPr>
          <w:rFonts w:ascii="Arial" w:hAnsi="Arial" w:eastAsia="Times New Roman" w:cs="Arial"/>
          <w:kern w:val="0"/>
          <w:sz w:val="20"/>
          <w:szCs w:val="20"/>
          <w:lang w:eastAsia="lt-LT"/>
          <w14:ligatures w14:val="none"/>
        </w:rPr>
        <w:t>aktyv</w:t>
      </w:r>
      <w:r w:rsidRPr="008E059E" w:rsidR="00055102">
        <w:rPr>
          <w:rFonts w:ascii="Arial" w:hAnsi="Arial" w:eastAsia="Times New Roman" w:cs="Arial"/>
          <w:kern w:val="0"/>
          <w:sz w:val="20"/>
          <w:szCs w:val="20"/>
          <w:lang w:eastAsia="lt-LT"/>
          <w14:ligatures w14:val="none"/>
        </w:rPr>
        <w:t>ų</w:t>
      </w:r>
      <w:r w:rsidRPr="008E059E" w:rsidR="00F04717">
        <w:rPr>
          <w:rFonts w:ascii="Arial" w:hAnsi="Arial" w:eastAsia="Times New Roman" w:cs="Arial"/>
          <w:kern w:val="0"/>
          <w:sz w:val="20"/>
          <w:szCs w:val="20"/>
          <w:lang w:eastAsia="lt-LT"/>
          <w14:ligatures w14:val="none"/>
        </w:rPr>
        <w:t xml:space="preserve"> TPMĮ </w:t>
      </w:r>
    </w:p>
    <w:p w:rsidRPr="008E059E" w:rsidR="000341BA" w:rsidP="000341BA" w:rsidRDefault="000B0890" w14:paraId="70D7AE17" w14:textId="55463DD4">
      <w:pPr>
        <w:shd w:val="clear" w:color="auto" w:fill="FFFFFF"/>
        <w:spacing w:after="0" w:line="240" w:lineRule="auto"/>
        <w:ind w:firstLine="993"/>
        <w:jc w:val="both"/>
        <w:rPr>
          <w:rFonts w:ascii="Arial" w:hAnsi="Arial" w:eastAsia="Times New Roman" w:cs="Arial"/>
          <w:kern w:val="0"/>
          <w:sz w:val="20"/>
          <w:szCs w:val="20"/>
          <w:lang w:eastAsia="lt-LT"/>
          <w14:ligatures w14:val="none"/>
        </w:rPr>
      </w:pPr>
      <m:oMathPara>
        <m:oMath>
          <m:r>
            <m:rPr>
              <m:sty m:val="p"/>
            </m:rPr>
            <w:rPr>
              <w:rFonts w:ascii="Cambria Math" w:hAnsi="Cambria Math" w:eastAsia="Times New Roman" w:cs="Arial"/>
              <w:kern w:val="0"/>
              <w:sz w:val="20"/>
              <w:szCs w:val="20"/>
              <w:lang w:eastAsia="lt-LT"/>
              <w14:ligatures w14:val="none"/>
            </w:rPr>
            <w:br/>
          </m:r>
        </m:oMath>
        <m:oMath>
          <m:r>
            <m:rPr>
              <m:sty m:val="bi"/>
            </m:rPr>
            <w:rPr>
              <w:rFonts w:ascii="Cambria Math" w:hAnsi="Cambria Math" w:eastAsia="Times New Roman" w:cs="Arial"/>
              <w:kern w:val="0"/>
              <w:sz w:val="20"/>
              <w:szCs w:val="20"/>
              <w:lang w:eastAsia="lt-LT"/>
              <w14:ligatures w14:val="none"/>
            </w:rPr>
            <m:t>SurinktaRinkliava</m:t>
          </m:r>
          <m:r>
            <m:rPr>
              <m:sty m:val="p"/>
            </m:rPr>
            <w:rPr>
              <w:rFonts w:ascii="Cambria Math" w:hAnsi="Cambria Math" w:eastAsia="Times New Roman" w:cs="Arial"/>
              <w:kern w:val="0"/>
              <w:sz w:val="20"/>
              <w:szCs w:val="20"/>
              <w:lang w:eastAsia="lt-LT"/>
              <w14:ligatures w14:val="none"/>
            </w:rPr>
            <w:br/>
          </m:r>
        </m:oMath>
      </m:oMathPara>
    </w:p>
    <w:p w:rsidRPr="008E059E" w:rsidR="00096928" w:rsidP="000341BA" w:rsidRDefault="000341BA" w14:paraId="350E3296" w14:textId="13EDFF39">
      <w:pPr>
        <w:shd w:val="clear" w:color="auto" w:fill="FFFFFF"/>
        <w:spacing w:after="0" w:line="240" w:lineRule="auto"/>
        <w:ind w:firstLine="993"/>
        <w:jc w:val="both"/>
        <w:rPr>
          <w:rFonts w:ascii="Arial" w:hAnsi="Arial" w:eastAsia="Times New Roman" w:cs="Arial"/>
          <w:kern w:val="0"/>
          <w:sz w:val="20"/>
          <w:szCs w:val="20"/>
          <w:lang w:eastAsia="lt-LT"/>
          <w14:ligatures w14:val="none"/>
        </w:rPr>
      </w:pPr>
      <w:r w:rsidRPr="008E059E">
        <w:rPr>
          <w:rFonts w:ascii="Arial" w:hAnsi="Arial" w:eastAsia="Times New Roman" w:cs="Arial"/>
          <w:kern w:val="0"/>
          <w:sz w:val="20"/>
          <w:szCs w:val="20"/>
          <w:lang w:eastAsia="lt-LT"/>
          <w14:ligatures w14:val="none"/>
        </w:rPr>
        <w:t>– EERP teikėjo surinkta</w:t>
      </w:r>
      <w:r w:rsidRPr="008E059E" w:rsidR="00D7629C">
        <w:rPr>
          <w:rFonts w:ascii="Arial" w:hAnsi="Arial" w:eastAsia="Times New Roman" w:cs="Arial"/>
          <w:kern w:val="0"/>
          <w:sz w:val="20"/>
          <w:szCs w:val="20"/>
          <w:lang w:eastAsia="lt-LT"/>
          <w14:ligatures w14:val="none"/>
        </w:rPr>
        <w:t xml:space="preserve"> </w:t>
      </w:r>
      <w:r w:rsidRPr="008E059E">
        <w:rPr>
          <w:rFonts w:ascii="Arial" w:hAnsi="Arial" w:eastAsia="Times New Roman" w:cs="Arial"/>
          <w:kern w:val="0"/>
          <w:sz w:val="20"/>
          <w:szCs w:val="20"/>
          <w:lang w:eastAsia="lt-LT"/>
          <w14:ligatures w14:val="none"/>
        </w:rPr>
        <w:t>kelių rinkliava per mėnesį, matuojama eurais. </w:t>
      </w:r>
    </w:p>
    <w:p w:rsidRPr="008E059E" w:rsidR="00096928" w:rsidP="00096928" w:rsidRDefault="00096928" w14:paraId="18FA8399" w14:textId="77777777">
      <w:pPr>
        <w:shd w:val="clear" w:color="auto" w:fill="FFFFFF"/>
        <w:spacing w:after="0" w:line="240" w:lineRule="auto"/>
        <w:ind w:firstLine="993"/>
        <w:jc w:val="both"/>
        <w:rPr>
          <w:rFonts w:ascii="Arial" w:hAnsi="Arial" w:eastAsia="Times New Roman" w:cs="Arial"/>
          <w:kern w:val="0"/>
          <w:sz w:val="20"/>
          <w:szCs w:val="20"/>
          <w:lang w:eastAsia="lt-LT"/>
          <w14:ligatures w14:val="none"/>
        </w:rPr>
      </w:pPr>
    </w:p>
    <w:p w:rsidRPr="008E059E" w:rsidR="00096928" w:rsidP="00096928" w:rsidRDefault="00E12328" w14:paraId="015E3CEF" w14:textId="54D87385">
      <w:pPr>
        <w:shd w:val="clear" w:color="auto" w:fill="FFFFFF"/>
        <w:spacing w:after="0" w:line="240" w:lineRule="auto"/>
        <w:ind w:firstLine="993"/>
        <w:jc w:val="both"/>
        <w:rPr>
          <w:rFonts w:ascii="Arial" w:hAnsi="Arial" w:eastAsia="Times New Roman" w:cs="Arial"/>
          <w:b/>
          <w:bCs/>
          <w:i/>
          <w:kern w:val="0"/>
          <w:sz w:val="20"/>
          <w:szCs w:val="20"/>
          <w:lang w:eastAsia="lt-LT"/>
          <w14:ligatures w14:val="none"/>
        </w:rPr>
      </w:pPr>
      <m:oMathPara>
        <m:oMath>
          <m:r>
            <m:rPr>
              <m:sty m:val="bi"/>
            </m:rPr>
            <w:rPr>
              <w:rFonts w:ascii="Cambria Math" w:hAnsi="Cambria Math" w:eastAsia="Times New Roman" w:cs="Arial"/>
              <w:kern w:val="0"/>
              <w:sz w:val="20"/>
              <w:szCs w:val="20"/>
              <w:lang w:val="en-US" w:eastAsia="lt-LT"/>
              <w14:ligatures w14:val="none"/>
            </w:rPr>
            <m:t>Ak</m:t>
          </m:r>
          <m:r>
            <m:rPr>
              <m:sty m:val="bi"/>
            </m:rPr>
            <w:rPr>
              <w:rFonts w:ascii="Cambria Math" w:hAnsi="Cambria Math" w:eastAsia="Times New Roman" w:cs="Arial"/>
              <w:kern w:val="0"/>
              <w:sz w:val="20"/>
              <w:szCs w:val="20"/>
              <w:lang w:eastAsia="lt-LT"/>
              <w14:ligatures w14:val="none"/>
            </w:rPr>
            <m:t>tyviųTPMĮskaičius</m:t>
          </m:r>
        </m:oMath>
      </m:oMathPara>
    </w:p>
    <w:p w:rsidRPr="008E059E" w:rsidR="00E12328" w:rsidP="00096928" w:rsidRDefault="00E12328" w14:paraId="33045799" w14:textId="77777777">
      <w:pPr>
        <w:shd w:val="clear" w:color="auto" w:fill="FFFFFF"/>
        <w:spacing w:after="0" w:line="240" w:lineRule="auto"/>
        <w:ind w:firstLine="993"/>
        <w:jc w:val="both"/>
        <w:rPr>
          <w:rFonts w:ascii="Arial" w:hAnsi="Arial" w:eastAsia="Times New Roman" w:cs="Arial"/>
          <w:b/>
          <w:bCs/>
          <w:i/>
          <w:kern w:val="0"/>
          <w:sz w:val="20"/>
          <w:szCs w:val="20"/>
          <w:lang w:eastAsia="lt-LT"/>
          <w14:ligatures w14:val="none"/>
        </w:rPr>
      </w:pPr>
    </w:p>
    <w:p w:rsidRPr="008E059E" w:rsidR="00096928" w:rsidP="00096928" w:rsidRDefault="00096928" w14:paraId="17544464" w14:textId="43BB9DED">
      <w:pPr>
        <w:shd w:val="clear" w:color="auto" w:fill="FFFFFF"/>
        <w:spacing w:after="0" w:line="240" w:lineRule="auto"/>
        <w:ind w:firstLine="993"/>
        <w:jc w:val="both"/>
        <w:rPr>
          <w:rFonts w:ascii="Arial" w:hAnsi="Arial" w:eastAsia="Times New Roman" w:cs="Arial"/>
          <w:kern w:val="0"/>
          <w:sz w:val="20"/>
          <w:szCs w:val="20"/>
          <w:lang w:eastAsia="lt-LT"/>
          <w14:ligatures w14:val="none"/>
        </w:rPr>
      </w:pPr>
      <w:r w:rsidRPr="008E059E">
        <w:rPr>
          <w:rFonts w:ascii="Arial" w:hAnsi="Arial" w:cs="Arial"/>
          <w:sz w:val="20"/>
          <w:szCs w:val="20"/>
          <w:lang w:eastAsia="lt-LT"/>
        </w:rPr>
        <w:t>- faktin</w:t>
      </w:r>
      <w:r w:rsidRPr="008E059E" w:rsidR="00D97F29">
        <w:rPr>
          <w:rFonts w:ascii="Arial" w:hAnsi="Arial" w:cs="Arial"/>
          <w:sz w:val="20"/>
          <w:szCs w:val="20"/>
          <w:lang w:eastAsia="lt-LT"/>
        </w:rPr>
        <w:t>is</w:t>
      </w:r>
      <w:r w:rsidRPr="008E059E">
        <w:rPr>
          <w:rFonts w:ascii="Arial" w:hAnsi="Arial" w:cs="Arial"/>
          <w:sz w:val="20"/>
          <w:szCs w:val="20"/>
          <w:lang w:eastAsia="lt-LT"/>
        </w:rPr>
        <w:t xml:space="preserve"> TPMĮ</w:t>
      </w:r>
      <w:r w:rsidRPr="008E059E" w:rsidR="00D97F29">
        <w:rPr>
          <w:rFonts w:ascii="Arial" w:hAnsi="Arial" w:cs="Arial"/>
          <w:sz w:val="20"/>
          <w:szCs w:val="20"/>
          <w:lang w:eastAsia="lt-LT"/>
        </w:rPr>
        <w:t xml:space="preserve"> skaičius</w:t>
      </w:r>
      <w:r w:rsidRPr="008E059E">
        <w:rPr>
          <w:rFonts w:ascii="Arial" w:hAnsi="Arial" w:cs="Arial"/>
          <w:sz w:val="20"/>
          <w:szCs w:val="20"/>
          <w:lang w:eastAsia="lt-LT"/>
        </w:rPr>
        <w:t>, kur</w:t>
      </w:r>
      <w:r w:rsidRPr="008E059E" w:rsidR="00D97F29">
        <w:rPr>
          <w:rFonts w:ascii="Arial" w:hAnsi="Arial" w:cs="Arial"/>
          <w:sz w:val="20"/>
          <w:szCs w:val="20"/>
          <w:lang w:eastAsia="lt-LT"/>
        </w:rPr>
        <w:t>iais</w:t>
      </w:r>
      <w:r w:rsidRPr="008E059E">
        <w:rPr>
          <w:rFonts w:ascii="Arial" w:hAnsi="Arial" w:cs="Arial"/>
          <w:sz w:val="20"/>
          <w:szCs w:val="20"/>
          <w:lang w:eastAsia="lt-LT"/>
        </w:rPr>
        <w:t xml:space="preserve"> per mėnesį buvo užregistruota bent viena mokama kelionė Lietuvos Respublikos kelių rinkliavos teritorijoj</w:t>
      </w:r>
      <w:r w:rsidRPr="008E059E" w:rsidR="00B47720">
        <w:rPr>
          <w:rFonts w:ascii="Arial" w:hAnsi="Arial" w:cs="Arial"/>
          <w:sz w:val="20"/>
          <w:szCs w:val="20"/>
          <w:lang w:eastAsia="lt-LT"/>
        </w:rPr>
        <w:t>e</w:t>
      </w:r>
    </w:p>
    <w:p w:rsidRPr="008E059E" w:rsidR="000341BA" w:rsidP="000341BA" w:rsidRDefault="000341BA" w14:paraId="1D3E8951" w14:textId="78998848">
      <w:pPr>
        <w:shd w:val="clear" w:color="auto" w:fill="FFFFFF"/>
        <w:spacing w:after="0" w:line="240" w:lineRule="auto"/>
        <w:ind w:firstLine="993"/>
        <w:jc w:val="both"/>
        <w:rPr>
          <w:rFonts w:ascii="Arial" w:hAnsi="Arial" w:eastAsia="Times New Roman" w:cs="Arial"/>
          <w:kern w:val="0"/>
          <w:sz w:val="20"/>
          <w:szCs w:val="20"/>
          <w:lang w:eastAsia="lt-LT"/>
          <w14:ligatures w14:val="none"/>
        </w:rPr>
      </w:pPr>
      <w:r w:rsidRPr="008E059E">
        <w:rPr>
          <w:rFonts w:ascii="Arial" w:hAnsi="Arial" w:eastAsia="Times New Roman" w:cs="Arial"/>
          <w:kern w:val="0"/>
          <w:sz w:val="20"/>
          <w:szCs w:val="20"/>
          <w:lang w:eastAsia="lt-LT"/>
          <w14:ligatures w14:val="none"/>
        </w:rPr>
        <w:t> </w:t>
      </w:r>
    </w:p>
    <w:p w:rsidRPr="008E059E" w:rsidR="000341BA" w:rsidP="000341BA" w:rsidRDefault="000341BA" w14:paraId="03269DB4" w14:textId="77777777">
      <w:pPr>
        <w:spacing w:after="0" w:line="240" w:lineRule="auto"/>
        <w:ind w:left="720"/>
        <w:jc w:val="both"/>
        <w:textAlignment w:val="baseline"/>
        <w:rPr>
          <w:rFonts w:ascii="Arial" w:hAnsi="Arial" w:eastAsia="Times New Roman" w:cs="Arial"/>
          <w:kern w:val="0"/>
          <w:sz w:val="20"/>
          <w:szCs w:val="20"/>
          <w:lang w:eastAsia="lt-LT"/>
          <w14:ligatures w14:val="none"/>
        </w:rPr>
      </w:pPr>
      <w:r w:rsidRPr="008E059E">
        <w:rPr>
          <w:rFonts w:ascii="Arial" w:hAnsi="Arial" w:eastAsia="Times New Roman" w:cs="Arial"/>
          <w:kern w:val="0"/>
          <w:sz w:val="20"/>
          <w:szCs w:val="20"/>
          <w:lang w:eastAsia="lt-LT"/>
          <w14:ligatures w14:val="none"/>
        </w:rPr>
        <w:t> </w:t>
      </w:r>
    </w:p>
    <w:p w:rsidRPr="008E059E" w:rsidR="000341BA" w:rsidP="000341BA" w:rsidRDefault="008948E5" w14:paraId="7B7CBB7C" w14:textId="797E02A9">
      <w:pPr>
        <w:numPr>
          <w:ilvl w:val="0"/>
          <w:numId w:val="1"/>
        </w:numPr>
        <w:spacing w:after="0" w:line="240" w:lineRule="auto"/>
        <w:ind w:firstLine="0"/>
        <w:jc w:val="center"/>
        <w:textAlignment w:val="baseline"/>
        <w:rPr>
          <w:rFonts w:ascii="Arial" w:hAnsi="Arial" w:eastAsia="Times New Roman" w:cs="Arial"/>
          <w:kern w:val="0"/>
          <w:sz w:val="20"/>
          <w:szCs w:val="20"/>
          <w:lang w:eastAsia="lt-LT"/>
          <w14:ligatures w14:val="none"/>
        </w:rPr>
      </w:pPr>
      <w:r w:rsidRPr="008E059E">
        <w:rPr>
          <w:rFonts w:ascii="Arial" w:hAnsi="Arial" w:eastAsia="Times New Roman" w:cs="Arial"/>
          <w:b/>
          <w:bCs/>
          <w:kern w:val="0"/>
          <w:sz w:val="20"/>
          <w:szCs w:val="20"/>
          <w:lang w:eastAsia="lt-LT"/>
          <w14:ligatures w14:val="none"/>
        </w:rPr>
        <w:t>P</w:t>
      </w:r>
      <w:r w:rsidRPr="008E059E" w:rsidR="00EF0B7B">
        <w:rPr>
          <w:rFonts w:ascii="Arial" w:hAnsi="Arial" w:eastAsia="Times New Roman" w:cs="Arial"/>
          <w:b/>
          <w:bCs/>
          <w:kern w:val="0"/>
          <w:sz w:val="20"/>
          <w:szCs w:val="20"/>
          <w:lang w:eastAsia="lt-LT"/>
          <w14:ligatures w14:val="none"/>
        </w:rPr>
        <w:t xml:space="preserve">rocentinė </w:t>
      </w:r>
      <w:r w:rsidRPr="008E059E" w:rsidR="000341BA">
        <w:rPr>
          <w:rFonts w:ascii="Arial" w:hAnsi="Arial" w:eastAsia="Times New Roman" w:cs="Arial"/>
          <w:b/>
          <w:bCs/>
          <w:kern w:val="0"/>
          <w:sz w:val="20"/>
          <w:szCs w:val="20"/>
          <w:lang w:eastAsia="lt-LT"/>
          <w14:ligatures w14:val="none"/>
        </w:rPr>
        <w:t>atlygio dalis</w:t>
      </w:r>
    </w:p>
    <w:p w:rsidRPr="008E059E" w:rsidR="000312C2" w:rsidP="000312C2" w:rsidRDefault="000312C2" w14:paraId="5A89B425" w14:textId="77777777">
      <w:pPr>
        <w:spacing w:after="0" w:line="240" w:lineRule="auto"/>
        <w:ind w:left="720"/>
        <w:textAlignment w:val="baseline"/>
        <w:rPr>
          <w:rFonts w:ascii="Arial" w:hAnsi="Arial" w:eastAsia="Times New Roman" w:cs="Arial"/>
          <w:kern w:val="0"/>
          <w:sz w:val="20"/>
          <w:szCs w:val="20"/>
          <w:lang w:eastAsia="lt-LT"/>
          <w14:ligatures w14:val="none"/>
        </w:rPr>
      </w:pPr>
    </w:p>
    <w:p w:rsidRPr="008E059E" w:rsidR="000341BA" w:rsidP="000341BA" w:rsidRDefault="000341BA" w14:paraId="767A3083" w14:textId="7239183C">
      <w:pPr>
        <w:pStyle w:val="ListParagraph"/>
        <w:numPr>
          <w:ilvl w:val="1"/>
          <w:numId w:val="6"/>
        </w:numPr>
        <w:tabs>
          <w:tab w:val="left" w:pos="1134"/>
        </w:tabs>
        <w:spacing w:after="0" w:line="240" w:lineRule="auto"/>
        <w:ind w:left="851" w:hanging="851"/>
        <w:jc w:val="both"/>
        <w:textAlignment w:val="baseline"/>
        <w:rPr>
          <w:rFonts w:ascii="Arial" w:hAnsi="Arial" w:eastAsia="Times New Roman" w:cs="Arial"/>
          <w:kern w:val="0"/>
          <w:sz w:val="20"/>
          <w:szCs w:val="20"/>
          <w:lang w:eastAsia="lt-LT"/>
          <w14:ligatures w14:val="none"/>
        </w:rPr>
      </w:pPr>
      <w:r w:rsidRPr="008E059E">
        <w:rPr>
          <w:rFonts w:ascii="Arial" w:hAnsi="Arial" w:eastAsia="Times New Roman" w:cs="Arial"/>
          <w:kern w:val="0"/>
          <w:sz w:val="20"/>
          <w:szCs w:val="20"/>
          <w:lang w:eastAsia="lt-LT"/>
          <w14:ligatures w14:val="none"/>
        </w:rPr>
        <w:t xml:space="preserve">Fiksuoto </w:t>
      </w:r>
      <w:r w:rsidRPr="008E059E" w:rsidR="000531D9">
        <w:rPr>
          <w:rFonts w:ascii="Arial" w:hAnsi="Arial" w:eastAsia="Times New Roman" w:cs="Arial"/>
          <w:kern w:val="0"/>
          <w:sz w:val="20"/>
          <w:szCs w:val="20"/>
          <w:lang w:eastAsia="lt-LT"/>
          <w14:ligatures w14:val="none"/>
        </w:rPr>
        <w:t xml:space="preserve">procentinė </w:t>
      </w:r>
      <w:r w:rsidRPr="008E059E">
        <w:rPr>
          <w:rFonts w:ascii="Arial" w:hAnsi="Arial" w:eastAsia="Times New Roman" w:cs="Arial"/>
          <w:kern w:val="0"/>
          <w:sz w:val="20"/>
          <w:szCs w:val="20"/>
          <w:lang w:eastAsia="lt-LT"/>
          <w14:ligatures w14:val="none"/>
        </w:rPr>
        <w:t xml:space="preserve">atlygio dalis </w:t>
      </w:r>
      <w:r w:rsidRPr="008E059E" w:rsidR="000B14AD">
        <w:rPr>
          <w:rFonts w:ascii="Arial" w:hAnsi="Arial" w:eastAsia="Times New Roman" w:cs="Arial"/>
          <w:kern w:val="0"/>
          <w:sz w:val="20"/>
          <w:szCs w:val="20"/>
          <w:lang w:eastAsia="lt-LT"/>
          <w14:ligatures w14:val="none"/>
        </w:rPr>
        <w:t>(</w:t>
      </w:r>
      <w:r w:rsidRPr="008E059E" w:rsidR="000B14AD">
        <w:rPr>
          <w:rFonts w:ascii="Arial" w:hAnsi="Arial" w:eastAsia="Times New Roman" w:cs="Arial"/>
          <w:b/>
          <w:bCs/>
          <w:kern w:val="0"/>
          <w:sz w:val="20"/>
          <w:szCs w:val="20"/>
          <w:lang w:eastAsia="lt-LT"/>
          <w14:ligatures w14:val="none"/>
        </w:rPr>
        <w:t>Atlygi</w:t>
      </w:r>
      <w:r w:rsidRPr="008E059E" w:rsidR="000B14AD">
        <w:rPr>
          <w:rFonts w:ascii="Arial" w:hAnsi="Arial" w:eastAsia="Times New Roman" w:cs="Arial"/>
          <w:kern w:val="0"/>
          <w:sz w:val="20"/>
          <w:szCs w:val="20"/>
          <w:lang w:eastAsia="lt-LT"/>
          <w14:ligatures w14:val="none"/>
        </w:rPr>
        <w:t>s</w:t>
      </w:r>
      <w:r w:rsidRPr="008E059E" w:rsidR="000B14AD">
        <w:rPr>
          <w:rFonts w:ascii="Arial" w:hAnsi="Arial" w:eastAsia="Times New Roman" w:cs="Arial"/>
          <w:b/>
          <w:bCs/>
          <w:kern w:val="0"/>
          <w:sz w:val="20"/>
          <w:szCs w:val="20"/>
          <w:lang w:eastAsia="lt-LT"/>
          <w14:ligatures w14:val="none"/>
        </w:rPr>
        <w:t>_</w:t>
      </w:r>
      <w:r w:rsidRPr="008E059E" w:rsidR="005B412B">
        <w:rPr>
          <w:rFonts w:ascii="Arial" w:hAnsi="Arial" w:eastAsia="Times New Roman" w:cs="Arial"/>
          <w:b/>
          <w:bCs/>
          <w:kern w:val="0"/>
          <w:sz w:val="20"/>
          <w:szCs w:val="20"/>
          <w:lang w:eastAsia="lt-LT"/>
          <w14:ligatures w14:val="none"/>
        </w:rPr>
        <w:t>proc</w:t>
      </w:r>
      <w:r w:rsidRPr="008E059E" w:rsidR="000B14AD">
        <w:rPr>
          <w:rFonts w:ascii="Arial" w:hAnsi="Arial" w:eastAsia="Times New Roman" w:cs="Arial"/>
          <w:kern w:val="0"/>
          <w:sz w:val="20"/>
          <w:szCs w:val="20"/>
          <w:lang w:eastAsia="lt-LT"/>
          <w14:ligatures w14:val="none"/>
        </w:rPr>
        <w:t xml:space="preserve">)  yra </w:t>
      </w:r>
      <w:r w:rsidRPr="008E059E">
        <w:rPr>
          <w:rFonts w:ascii="Arial" w:hAnsi="Arial" w:eastAsia="Times New Roman" w:cs="Arial"/>
          <w:kern w:val="0"/>
          <w:sz w:val="20"/>
          <w:szCs w:val="20"/>
          <w:lang w:eastAsia="lt-LT"/>
          <w14:ligatures w14:val="none"/>
        </w:rPr>
        <w:t>išrei</w:t>
      </w:r>
      <w:r w:rsidRPr="008E059E" w:rsidR="000B14AD">
        <w:rPr>
          <w:rFonts w:ascii="Arial" w:hAnsi="Arial" w:eastAsia="Times New Roman" w:cs="Arial"/>
          <w:kern w:val="0"/>
          <w:sz w:val="20"/>
          <w:szCs w:val="20"/>
          <w:lang w:eastAsia="lt-LT"/>
          <w14:ligatures w14:val="none"/>
        </w:rPr>
        <w:t>škiama</w:t>
      </w:r>
      <w:r w:rsidRPr="008E059E">
        <w:rPr>
          <w:rFonts w:ascii="Arial" w:hAnsi="Arial" w:eastAsia="Times New Roman" w:cs="Arial"/>
          <w:kern w:val="0"/>
          <w:sz w:val="20"/>
          <w:szCs w:val="20"/>
          <w:lang w:eastAsia="lt-LT"/>
          <w14:ligatures w14:val="none"/>
        </w:rPr>
        <w:t xml:space="preserve"> procentais</w:t>
      </w:r>
      <w:r w:rsidRPr="008E059E" w:rsidR="000B14AD">
        <w:rPr>
          <w:rFonts w:ascii="Arial" w:hAnsi="Arial" w:eastAsia="Times New Roman" w:cs="Arial"/>
          <w:kern w:val="0"/>
          <w:sz w:val="20"/>
          <w:szCs w:val="20"/>
          <w:lang w:eastAsia="lt-LT"/>
          <w14:ligatures w14:val="none"/>
        </w:rPr>
        <w:t xml:space="preserve"> ir</w:t>
      </w:r>
      <w:r w:rsidRPr="008E059E">
        <w:rPr>
          <w:rFonts w:ascii="Arial" w:hAnsi="Arial" w:eastAsia="Times New Roman" w:cs="Arial"/>
          <w:kern w:val="0"/>
          <w:sz w:val="20"/>
          <w:szCs w:val="20"/>
          <w:lang w:eastAsia="lt-LT"/>
          <w14:ligatures w14:val="none"/>
        </w:rPr>
        <w:t xml:space="preserve"> skiriam</w:t>
      </w:r>
      <w:r w:rsidRPr="008E059E" w:rsidR="000B14AD">
        <w:rPr>
          <w:rFonts w:ascii="Arial" w:hAnsi="Arial" w:eastAsia="Times New Roman" w:cs="Arial"/>
          <w:kern w:val="0"/>
          <w:sz w:val="20"/>
          <w:szCs w:val="20"/>
          <w:lang w:eastAsia="lt-LT"/>
          <w14:ligatures w14:val="none"/>
        </w:rPr>
        <w:t>a</w:t>
      </w:r>
      <w:r w:rsidRPr="008E059E">
        <w:rPr>
          <w:rFonts w:ascii="Arial" w:hAnsi="Arial" w:eastAsia="Times New Roman" w:cs="Arial"/>
          <w:kern w:val="0"/>
          <w:sz w:val="20"/>
          <w:szCs w:val="20"/>
          <w:lang w:eastAsia="lt-LT"/>
          <w14:ligatures w14:val="none"/>
        </w:rPr>
        <w:t xml:space="preserve"> EERP teikėjui už surinktą kelių rinkliavą</w:t>
      </w:r>
      <w:r w:rsidRPr="008E059E" w:rsidR="000B14AD">
        <w:rPr>
          <w:rFonts w:ascii="Arial" w:hAnsi="Arial" w:eastAsia="Times New Roman" w:cs="Arial"/>
          <w:kern w:val="0"/>
          <w:sz w:val="20"/>
          <w:szCs w:val="20"/>
          <w:lang w:eastAsia="lt-LT"/>
          <w14:ligatures w14:val="none"/>
        </w:rPr>
        <w:t>. Šios atlygio dalies</w:t>
      </w:r>
      <w:r w:rsidRPr="008E059E">
        <w:rPr>
          <w:rFonts w:ascii="Arial" w:hAnsi="Arial" w:eastAsia="Times New Roman" w:cs="Arial"/>
          <w:kern w:val="0"/>
          <w:sz w:val="20"/>
          <w:szCs w:val="20"/>
          <w:lang w:eastAsia="lt-LT"/>
          <w14:ligatures w14:val="none"/>
        </w:rPr>
        <w:t xml:space="preserve"> nustatymas grindžiamas sutaupytų kaštų </w:t>
      </w:r>
      <w:r w:rsidRPr="008E059E">
        <w:rPr>
          <w:rFonts w:ascii="Arial" w:hAnsi="Arial" w:eastAsia="Times New Roman" w:cs="Arial"/>
          <w:kern w:val="0"/>
          <w:sz w:val="20"/>
          <w:szCs w:val="20"/>
          <w:lang w:eastAsia="lt-LT"/>
          <w14:ligatures w14:val="none"/>
        </w:rPr>
        <w:lastRenderedPageBreak/>
        <w:t xml:space="preserve">principu (angl. </w:t>
      </w:r>
      <w:r w:rsidRPr="008E059E">
        <w:rPr>
          <w:rFonts w:ascii="Arial" w:hAnsi="Arial" w:eastAsia="Times New Roman" w:cs="Arial"/>
          <w:b/>
          <w:bCs/>
          <w:kern w:val="0"/>
          <w:sz w:val="20"/>
          <w:szCs w:val="20"/>
          <w:lang w:eastAsia="lt-LT"/>
          <w14:ligatures w14:val="none"/>
        </w:rPr>
        <w:t>cost savings approach</w:t>
      </w:r>
      <w:r w:rsidRPr="008E059E">
        <w:rPr>
          <w:rFonts w:ascii="Arial" w:hAnsi="Arial" w:eastAsia="Times New Roman" w:cs="Arial"/>
          <w:kern w:val="0"/>
          <w:sz w:val="20"/>
          <w:szCs w:val="20"/>
          <w:lang w:eastAsia="lt-LT"/>
          <w14:ligatures w14:val="none"/>
        </w:rPr>
        <w:t>), t. y. kaštais, kurių nepatiria Rinkliavos rinkėjas, nes atitinkamas funkcijas vykdo  EERP teikėjas</w:t>
      </w:r>
      <w:r w:rsidRPr="008E059E" w:rsidR="0057529C">
        <w:rPr>
          <w:rFonts w:ascii="Arial" w:hAnsi="Arial" w:eastAsia="Times New Roman" w:cs="Arial"/>
          <w:kern w:val="0"/>
          <w:sz w:val="20"/>
          <w:szCs w:val="20"/>
          <w:lang w:eastAsia="lt-LT"/>
          <w14:ligatures w14:val="none"/>
        </w:rPr>
        <w:t>, kaip antai: klientų aptarnavimas, EERP gavėjų registravimas, TPMĮ administravimas, duomenų surinkimas ir perdavimas, mokėjimų administravimas</w:t>
      </w:r>
      <w:r w:rsidRPr="008E059E" w:rsidR="006A5A03">
        <w:rPr>
          <w:rFonts w:ascii="Arial" w:hAnsi="Arial" w:eastAsia="Times New Roman" w:cs="Arial"/>
          <w:kern w:val="0"/>
          <w:sz w:val="20"/>
          <w:szCs w:val="20"/>
          <w:lang w:eastAsia="lt-LT"/>
          <w14:ligatures w14:val="none"/>
        </w:rPr>
        <w:t>,</w:t>
      </w:r>
      <w:r w:rsidRPr="008E059E" w:rsidR="0057529C">
        <w:rPr>
          <w:rFonts w:ascii="Arial" w:hAnsi="Arial" w:eastAsia="Times New Roman" w:cs="Arial"/>
          <w:kern w:val="0"/>
          <w:sz w:val="20"/>
          <w:szCs w:val="20"/>
          <w:lang w:eastAsia="lt-LT"/>
          <w14:ligatures w14:val="none"/>
        </w:rPr>
        <w:t xml:space="preserve"> informacinių sistemų eksploatavimas</w:t>
      </w:r>
      <w:r w:rsidRPr="008E059E" w:rsidR="000F7489">
        <w:rPr>
          <w:rFonts w:ascii="Arial" w:hAnsi="Arial" w:eastAsia="Times New Roman" w:cs="Arial"/>
          <w:kern w:val="0"/>
          <w:sz w:val="20"/>
          <w:szCs w:val="20"/>
          <w:lang w:eastAsia="lt-LT"/>
          <w14:ligatures w14:val="none"/>
        </w:rPr>
        <w:t xml:space="preserve"> ir kt. </w:t>
      </w:r>
      <w:r w:rsidRPr="008E059E" w:rsidR="00712BC6">
        <w:rPr>
          <w:rFonts w:ascii="Arial" w:hAnsi="Arial" w:eastAsia="Times New Roman" w:cs="Arial"/>
          <w:kern w:val="0"/>
          <w:sz w:val="20"/>
          <w:szCs w:val="20"/>
          <w:lang w:eastAsia="lt-LT"/>
          <w14:ligatures w14:val="none"/>
        </w:rPr>
        <w:t>su</w:t>
      </w:r>
      <w:r w:rsidRPr="008E059E" w:rsidR="00F609DD">
        <w:rPr>
          <w:rFonts w:ascii="Arial" w:hAnsi="Arial" w:eastAsia="Times New Roman" w:cs="Arial"/>
          <w:kern w:val="0"/>
          <w:sz w:val="20"/>
          <w:szCs w:val="20"/>
          <w:lang w:eastAsia="lt-LT"/>
          <w14:ligatures w14:val="none"/>
        </w:rPr>
        <w:t xml:space="preserve"> EERP susijusias išlaidas</w:t>
      </w:r>
      <w:r w:rsidRPr="008E059E">
        <w:rPr>
          <w:rFonts w:ascii="Arial" w:hAnsi="Arial" w:eastAsia="Times New Roman" w:cs="Arial"/>
          <w:kern w:val="0"/>
          <w:sz w:val="20"/>
          <w:szCs w:val="20"/>
          <w:lang w:eastAsia="lt-LT"/>
          <w14:ligatures w14:val="none"/>
        </w:rPr>
        <w:t xml:space="preserve">; taip pat perimtų rizikų įvertinimu, įskaitant duomenų tikslumo, perdavimo savalaikiškumo ir </w:t>
      </w:r>
      <w:r w:rsidRPr="008E059E" w:rsidR="00C75672">
        <w:rPr>
          <w:rFonts w:ascii="Arial" w:hAnsi="Arial" w:eastAsia="Times New Roman" w:cs="Arial"/>
          <w:kern w:val="0"/>
          <w:sz w:val="20"/>
          <w:szCs w:val="20"/>
          <w:lang w:eastAsia="lt-LT"/>
          <w14:ligatures w14:val="none"/>
        </w:rPr>
        <w:t xml:space="preserve">EERP gavėjų </w:t>
      </w:r>
      <w:r w:rsidRPr="008E059E">
        <w:rPr>
          <w:rFonts w:ascii="Arial" w:hAnsi="Arial" w:eastAsia="Times New Roman" w:cs="Arial"/>
          <w:kern w:val="0"/>
          <w:sz w:val="20"/>
          <w:szCs w:val="20"/>
          <w:lang w:eastAsia="lt-LT"/>
          <w14:ligatures w14:val="none"/>
        </w:rPr>
        <w:t>registracijos rizikas.</w:t>
      </w:r>
    </w:p>
    <w:p w:rsidRPr="008E059E" w:rsidR="000341BA" w:rsidP="000341BA" w:rsidRDefault="000341BA" w14:paraId="48A40FEB" w14:textId="47A2CE24">
      <w:pPr>
        <w:pStyle w:val="ListParagraph"/>
        <w:numPr>
          <w:ilvl w:val="1"/>
          <w:numId w:val="6"/>
        </w:numPr>
        <w:tabs>
          <w:tab w:val="left" w:pos="1134"/>
        </w:tabs>
        <w:spacing w:after="0" w:line="240" w:lineRule="auto"/>
        <w:ind w:left="851" w:hanging="851"/>
        <w:jc w:val="both"/>
        <w:textAlignment w:val="baseline"/>
        <w:rPr>
          <w:rFonts w:ascii="Arial" w:hAnsi="Arial" w:eastAsia="Times New Roman" w:cs="Arial"/>
          <w:kern w:val="0"/>
          <w:sz w:val="20"/>
          <w:szCs w:val="20"/>
          <w:lang w:eastAsia="lt-LT"/>
          <w14:ligatures w14:val="none"/>
        </w:rPr>
      </w:pPr>
      <w:r w:rsidRPr="008E059E">
        <w:rPr>
          <w:rFonts w:ascii="Arial" w:hAnsi="Arial" w:eastAsia="Times New Roman" w:cs="Arial"/>
          <w:kern w:val="0"/>
          <w:sz w:val="20"/>
          <w:szCs w:val="20"/>
          <w:lang w:eastAsia="lt-LT"/>
          <w14:ligatures w14:val="none"/>
        </w:rPr>
        <w:t xml:space="preserve">EERP teikėjui mokamo </w:t>
      </w:r>
      <w:r w:rsidRPr="008E059E" w:rsidR="00E43AD6">
        <w:rPr>
          <w:rFonts w:ascii="Arial" w:hAnsi="Arial" w:eastAsia="Times New Roman" w:cs="Arial"/>
          <w:kern w:val="0"/>
          <w:sz w:val="20"/>
          <w:szCs w:val="20"/>
          <w:lang w:eastAsia="lt-LT"/>
          <w14:ligatures w14:val="none"/>
        </w:rPr>
        <w:t>procent</w:t>
      </w:r>
      <w:r w:rsidRPr="008E059E" w:rsidR="009F572D">
        <w:rPr>
          <w:rFonts w:ascii="Arial" w:hAnsi="Arial" w:eastAsia="Times New Roman" w:cs="Arial"/>
          <w:kern w:val="0"/>
          <w:sz w:val="20"/>
          <w:szCs w:val="20"/>
          <w:lang w:eastAsia="lt-LT"/>
          <w14:ligatures w14:val="none"/>
        </w:rPr>
        <w:t>in</w:t>
      </w:r>
      <w:r w:rsidRPr="008E059E" w:rsidR="007845F4">
        <w:rPr>
          <w:rFonts w:ascii="Arial" w:hAnsi="Arial" w:eastAsia="Times New Roman" w:cs="Arial"/>
          <w:kern w:val="0"/>
          <w:sz w:val="20"/>
          <w:szCs w:val="20"/>
          <w:lang w:eastAsia="lt-LT"/>
          <w14:ligatures w14:val="none"/>
        </w:rPr>
        <w:t>io</w:t>
      </w:r>
      <w:r w:rsidRPr="008E059E" w:rsidR="009F572D">
        <w:rPr>
          <w:rFonts w:ascii="Arial" w:hAnsi="Arial" w:eastAsia="Times New Roman" w:cs="Arial"/>
          <w:kern w:val="0"/>
          <w:sz w:val="20"/>
          <w:szCs w:val="20"/>
          <w:lang w:eastAsia="lt-LT"/>
          <w14:ligatures w14:val="none"/>
        </w:rPr>
        <w:t xml:space="preserve"> </w:t>
      </w:r>
      <w:r w:rsidRPr="008E059E" w:rsidR="00E43AD6">
        <w:rPr>
          <w:rFonts w:ascii="Arial" w:hAnsi="Arial" w:eastAsia="Times New Roman" w:cs="Arial"/>
          <w:kern w:val="0"/>
          <w:sz w:val="20"/>
          <w:szCs w:val="20"/>
          <w:lang w:eastAsia="lt-LT"/>
          <w14:ligatures w14:val="none"/>
        </w:rPr>
        <w:t xml:space="preserve"> </w:t>
      </w:r>
      <w:r w:rsidRPr="008E059E">
        <w:rPr>
          <w:rFonts w:ascii="Arial" w:hAnsi="Arial" w:eastAsia="Times New Roman" w:cs="Arial"/>
          <w:kern w:val="0"/>
          <w:sz w:val="20"/>
          <w:szCs w:val="20"/>
          <w:lang w:eastAsia="lt-LT"/>
          <w14:ligatures w14:val="none"/>
        </w:rPr>
        <w:t xml:space="preserve">atlygio dydis – </w:t>
      </w:r>
      <w:r w:rsidRPr="008E059E">
        <w:rPr>
          <w:rFonts w:ascii="Arial" w:hAnsi="Arial" w:eastAsia="Times New Roman" w:cs="Arial"/>
          <w:b/>
          <w:bCs/>
          <w:kern w:val="0"/>
          <w:sz w:val="20"/>
          <w:szCs w:val="20"/>
          <w:lang w:eastAsia="lt-LT"/>
          <w14:ligatures w14:val="none"/>
        </w:rPr>
        <w:t>2,0 proc</w:t>
      </w:r>
      <w:r w:rsidRPr="008E059E">
        <w:rPr>
          <w:rFonts w:ascii="Arial" w:hAnsi="Arial" w:eastAsia="Times New Roman" w:cs="Arial"/>
          <w:kern w:val="0"/>
          <w:sz w:val="20"/>
          <w:szCs w:val="20"/>
          <w:lang w:eastAsia="lt-LT"/>
          <w14:ligatures w14:val="none"/>
        </w:rPr>
        <w:t>. </w:t>
      </w:r>
    </w:p>
    <w:p w:rsidRPr="008E059E" w:rsidR="000341BA" w:rsidP="000341BA" w:rsidRDefault="000341BA" w14:paraId="0ED0E0EA" w14:textId="77777777">
      <w:pPr>
        <w:spacing w:after="0" w:line="240" w:lineRule="auto"/>
        <w:jc w:val="both"/>
        <w:textAlignment w:val="baseline"/>
        <w:rPr>
          <w:rFonts w:ascii="Arial" w:hAnsi="Arial" w:eastAsia="Times New Roman" w:cs="Arial"/>
          <w:kern w:val="0"/>
          <w:sz w:val="20"/>
          <w:szCs w:val="20"/>
          <w:lang w:eastAsia="lt-LT"/>
          <w14:ligatures w14:val="none"/>
        </w:rPr>
      </w:pPr>
      <w:r w:rsidRPr="008E059E">
        <w:rPr>
          <w:rFonts w:ascii="Arial" w:hAnsi="Arial" w:eastAsia="Times New Roman" w:cs="Arial"/>
          <w:kern w:val="0"/>
          <w:sz w:val="20"/>
          <w:szCs w:val="20"/>
          <w:lang w:eastAsia="lt-LT"/>
          <w14:ligatures w14:val="none"/>
        </w:rPr>
        <w:t> </w:t>
      </w:r>
    </w:p>
    <w:p w:rsidRPr="008E059E" w:rsidR="000341BA" w:rsidP="000341BA" w:rsidRDefault="00524885" w14:paraId="7E51357D" w14:textId="3F785C65">
      <w:pPr>
        <w:pStyle w:val="ListParagraph"/>
        <w:numPr>
          <w:ilvl w:val="0"/>
          <w:numId w:val="6"/>
        </w:numPr>
        <w:spacing w:after="0" w:line="240" w:lineRule="auto"/>
        <w:jc w:val="center"/>
        <w:textAlignment w:val="baseline"/>
        <w:rPr>
          <w:rFonts w:ascii="Arial" w:hAnsi="Arial" w:eastAsia="Times New Roman" w:cs="Arial"/>
          <w:b/>
          <w:bCs/>
          <w:kern w:val="0"/>
          <w:sz w:val="20"/>
          <w:szCs w:val="20"/>
          <w:lang w:eastAsia="lt-LT"/>
          <w14:ligatures w14:val="none"/>
        </w:rPr>
      </w:pPr>
      <w:r w:rsidRPr="008E059E">
        <w:rPr>
          <w:rFonts w:ascii="Arial" w:hAnsi="Arial" w:eastAsia="Times New Roman" w:cs="Arial"/>
          <w:b/>
          <w:bCs/>
          <w:kern w:val="0"/>
          <w:sz w:val="20"/>
          <w:szCs w:val="20"/>
          <w:lang w:eastAsia="lt-LT"/>
          <w14:ligatures w14:val="none"/>
        </w:rPr>
        <w:t>Fiksuota</w:t>
      </w:r>
      <w:r w:rsidRPr="008E059E" w:rsidDel="005061EF">
        <w:rPr>
          <w:rFonts w:ascii="Arial" w:hAnsi="Arial" w:eastAsia="Times New Roman" w:cs="Arial"/>
          <w:b/>
          <w:bCs/>
          <w:kern w:val="0"/>
          <w:sz w:val="20"/>
          <w:szCs w:val="20"/>
          <w:lang w:eastAsia="lt-LT"/>
          <w14:ligatures w14:val="none"/>
        </w:rPr>
        <w:t xml:space="preserve"> </w:t>
      </w:r>
      <w:r w:rsidRPr="008E059E" w:rsidR="000341BA">
        <w:rPr>
          <w:rFonts w:ascii="Arial" w:hAnsi="Arial" w:eastAsia="Times New Roman" w:cs="Arial"/>
          <w:b/>
          <w:bCs/>
          <w:kern w:val="0"/>
          <w:sz w:val="20"/>
          <w:szCs w:val="20"/>
          <w:lang w:eastAsia="lt-LT"/>
          <w14:ligatures w14:val="none"/>
        </w:rPr>
        <w:t>atlygio dalis</w:t>
      </w:r>
      <w:r w:rsidRPr="008E059E" w:rsidR="005061EF">
        <w:rPr>
          <w:rFonts w:ascii="Arial" w:hAnsi="Arial" w:eastAsia="Times New Roman" w:cs="Arial"/>
          <w:b/>
          <w:bCs/>
          <w:kern w:val="0"/>
          <w:sz w:val="20"/>
          <w:szCs w:val="20"/>
          <w:lang w:eastAsia="lt-LT"/>
          <w14:ligatures w14:val="none"/>
        </w:rPr>
        <w:t xml:space="preserve"> </w:t>
      </w:r>
    </w:p>
    <w:p w:rsidRPr="008E059E" w:rsidR="000341BA" w:rsidP="000341BA" w:rsidRDefault="000341BA" w14:paraId="0C7DFD5D" w14:textId="77777777">
      <w:pPr>
        <w:pStyle w:val="ListParagraph"/>
        <w:spacing w:after="0" w:line="240" w:lineRule="auto"/>
        <w:ind w:left="360"/>
        <w:textAlignment w:val="baseline"/>
        <w:rPr>
          <w:rFonts w:ascii="Arial" w:hAnsi="Arial" w:eastAsia="Times New Roman" w:cs="Arial"/>
          <w:kern w:val="0"/>
          <w:sz w:val="20"/>
          <w:szCs w:val="20"/>
          <w:lang w:eastAsia="lt-LT"/>
          <w14:ligatures w14:val="none"/>
        </w:rPr>
      </w:pPr>
    </w:p>
    <w:p w:rsidRPr="008E059E" w:rsidR="000341BA" w:rsidP="000341BA" w:rsidRDefault="003141BB" w14:paraId="586DA37D" w14:textId="74B7CE9C">
      <w:pPr>
        <w:pStyle w:val="ListParagraph"/>
        <w:numPr>
          <w:ilvl w:val="1"/>
          <w:numId w:val="6"/>
        </w:numPr>
        <w:spacing w:after="0" w:line="240" w:lineRule="auto"/>
        <w:ind w:left="851" w:hanging="851"/>
        <w:jc w:val="both"/>
        <w:textAlignment w:val="baseline"/>
        <w:rPr>
          <w:rFonts w:ascii="Arial" w:hAnsi="Arial" w:eastAsia="Times New Roman" w:cs="Arial"/>
          <w:kern w:val="0"/>
          <w:sz w:val="20"/>
          <w:szCs w:val="20"/>
          <w:lang w:eastAsia="lt-LT"/>
          <w14:ligatures w14:val="none"/>
        </w:rPr>
      </w:pPr>
      <w:r w:rsidRPr="008E059E">
        <w:rPr>
          <w:rFonts w:ascii="Arial" w:hAnsi="Arial" w:eastAsia="Times New Roman" w:cs="Arial"/>
          <w:kern w:val="0"/>
          <w:sz w:val="20"/>
          <w:szCs w:val="20"/>
          <w:lang w:eastAsia="lt-LT"/>
          <w14:ligatures w14:val="none"/>
        </w:rPr>
        <w:t xml:space="preserve">Fiksuota </w:t>
      </w:r>
      <w:r w:rsidRPr="008E059E" w:rsidR="000341BA">
        <w:rPr>
          <w:rFonts w:ascii="Arial" w:hAnsi="Arial" w:eastAsia="Times New Roman" w:cs="Arial"/>
          <w:kern w:val="0"/>
          <w:sz w:val="20"/>
          <w:szCs w:val="20"/>
          <w:lang w:eastAsia="lt-LT"/>
          <w14:ligatures w14:val="none"/>
        </w:rPr>
        <w:t xml:space="preserve"> atlygio dalis skirta skatinti EERP teikėjus aktyviai plėsti paslaugų naudojimą Lietuvos Respublikos teritorijoje ir kompensuoti papildomas EERP teikėjo sąnaudas, susijusias su naujų EERP gavėjų pritraukimu.  </w:t>
      </w:r>
    </w:p>
    <w:p w:rsidRPr="008E059E" w:rsidR="000341BA" w:rsidP="000341BA" w:rsidRDefault="00074481" w14:paraId="0125CFED" w14:textId="4C94BD4F">
      <w:pPr>
        <w:pStyle w:val="ListParagraph"/>
        <w:numPr>
          <w:ilvl w:val="1"/>
          <w:numId w:val="6"/>
        </w:numPr>
        <w:spacing w:after="0" w:line="240" w:lineRule="auto"/>
        <w:ind w:left="851" w:hanging="851"/>
        <w:jc w:val="both"/>
        <w:textAlignment w:val="baseline"/>
        <w:rPr>
          <w:rFonts w:ascii="Arial" w:hAnsi="Arial" w:eastAsia="Times New Roman" w:cs="Arial"/>
          <w:kern w:val="0"/>
          <w:sz w:val="20"/>
          <w:szCs w:val="20"/>
          <w:lang w:eastAsia="lt-LT"/>
          <w14:ligatures w14:val="none"/>
        </w:rPr>
      </w:pPr>
      <w:r w:rsidRPr="008E059E">
        <w:rPr>
          <w:rFonts w:ascii="Arial" w:hAnsi="Arial" w:eastAsia="Times New Roman" w:cs="Arial"/>
          <w:kern w:val="0"/>
          <w:sz w:val="20"/>
          <w:szCs w:val="20"/>
          <w:lang w:eastAsia="lt-LT"/>
          <w14:ligatures w14:val="none"/>
        </w:rPr>
        <w:t xml:space="preserve">Fiksuota  atlygio dalis </w:t>
      </w:r>
      <w:r w:rsidRPr="008E059E" w:rsidR="000341BA">
        <w:rPr>
          <w:rFonts w:ascii="Arial" w:hAnsi="Arial" w:eastAsia="Times New Roman" w:cs="Arial"/>
          <w:b/>
          <w:bCs/>
          <w:kern w:val="0"/>
          <w:sz w:val="20"/>
          <w:szCs w:val="20"/>
          <w:lang w:eastAsia="lt-LT"/>
          <w14:ligatures w14:val="none"/>
        </w:rPr>
        <w:t>(</w:t>
      </w:r>
      <m:oMath>
        <m:sSub>
          <m:sSubPr>
            <m:ctrlPr>
              <w:rPr>
                <w:rFonts w:ascii="Cambria Math" w:hAnsi="Cambria Math" w:eastAsia="Times New Roman" w:cs="Arial"/>
                <w:b/>
                <w:bCs/>
                <w:i/>
                <w:kern w:val="0"/>
                <w:sz w:val="20"/>
                <w:szCs w:val="20"/>
                <w:lang w:eastAsia="lt-LT"/>
                <w14:ligatures w14:val="none"/>
              </w:rPr>
            </m:ctrlPr>
          </m:sSubPr>
          <m:e>
            <m:r>
              <m:rPr>
                <m:sty m:val="bi"/>
              </m:rPr>
              <w:rPr>
                <w:rFonts w:ascii="Cambria Math" w:hAnsi="Cambria Math" w:eastAsia="Times New Roman" w:cs="Arial"/>
                <w:kern w:val="0"/>
                <w:sz w:val="20"/>
                <w:szCs w:val="20"/>
                <w:lang w:eastAsia="lt-LT"/>
                <w14:ligatures w14:val="none"/>
              </w:rPr>
              <m:t>Atlygis</m:t>
            </m:r>
          </m:e>
          <m:sub>
            <m:r>
              <m:rPr>
                <m:sty m:val="bi"/>
              </m:rPr>
              <w:rPr>
                <w:rFonts w:ascii="Cambria Math" w:hAnsi="Cambria Math" w:eastAsia="Times New Roman" w:cs="Arial"/>
                <w:kern w:val="0"/>
                <w:sz w:val="20"/>
                <w:szCs w:val="20"/>
                <w:lang w:eastAsia="lt-LT"/>
                <w14:ligatures w14:val="none"/>
              </w:rPr>
              <m:t>fiks</m:t>
            </m:r>
          </m:sub>
        </m:sSub>
      </m:oMath>
      <w:r w:rsidRPr="008E059E" w:rsidR="00D13CB1">
        <w:rPr>
          <w:rFonts w:ascii="Arial" w:hAnsi="Arial" w:eastAsia="Times New Roman" w:cs="Arial"/>
          <w:b/>
          <w:bCs/>
          <w:kern w:val="0"/>
          <w:sz w:val="20"/>
          <w:szCs w:val="20"/>
          <w:lang w:eastAsia="lt-LT"/>
          <w14:ligatures w14:val="none"/>
        </w:rPr>
        <w:t>)</w:t>
      </w:r>
      <w:r w:rsidRPr="008E059E" w:rsidDel="00941F8A" w:rsidR="00D13CB1">
        <w:rPr>
          <w:rFonts w:ascii="Arial" w:hAnsi="Arial" w:eastAsia="Times New Roman" w:cs="Arial"/>
          <w:b/>
          <w:bCs/>
          <w:kern w:val="0"/>
          <w:sz w:val="20"/>
          <w:szCs w:val="20"/>
          <w:lang w:eastAsia="lt-LT"/>
          <w14:ligatures w14:val="none"/>
        </w:rPr>
        <w:t xml:space="preserve"> </w:t>
      </w:r>
      <w:r w:rsidRPr="008E059E" w:rsidR="000341BA">
        <w:rPr>
          <w:rFonts w:ascii="Arial" w:hAnsi="Arial" w:eastAsia="Times New Roman" w:cs="Arial"/>
          <w:kern w:val="0"/>
          <w:sz w:val="20"/>
          <w:szCs w:val="20"/>
          <w:lang w:eastAsia="lt-LT"/>
          <w14:ligatures w14:val="none"/>
        </w:rPr>
        <w:t xml:space="preserve"> taikoma kaip atlygis, priklausantis nuo EERP teikėjo aktyvių TPMĮ Lietuvos EERP teritorijoje.</w:t>
      </w:r>
    </w:p>
    <w:p w:rsidRPr="008E059E" w:rsidR="00FD5404" w:rsidP="000341BA" w:rsidRDefault="000341BA" w14:paraId="566C5922" w14:textId="13C6AF90">
      <w:pPr>
        <w:pStyle w:val="ListParagraph"/>
        <w:numPr>
          <w:ilvl w:val="1"/>
          <w:numId w:val="6"/>
        </w:numPr>
        <w:spacing w:after="0" w:line="240" w:lineRule="auto"/>
        <w:ind w:left="851" w:hanging="851"/>
        <w:jc w:val="both"/>
        <w:textAlignment w:val="baseline"/>
        <w:rPr>
          <w:rFonts w:ascii="Arial" w:hAnsi="Arial" w:eastAsia="Times New Roman" w:cs="Arial"/>
          <w:kern w:val="0"/>
          <w:sz w:val="20"/>
          <w:szCs w:val="20"/>
          <w:lang w:eastAsia="lt-LT"/>
          <w14:ligatures w14:val="none"/>
        </w:rPr>
      </w:pPr>
      <w:r w:rsidRPr="008E059E">
        <w:rPr>
          <w:rFonts w:ascii="Arial" w:hAnsi="Arial" w:cs="Arial"/>
          <w:sz w:val="20"/>
          <w:szCs w:val="20"/>
          <w:lang w:eastAsia="lt-LT"/>
        </w:rPr>
        <w:t xml:space="preserve">Aktyvus TPMĮ  – </w:t>
      </w:r>
      <w:r w:rsidRPr="008E059E" w:rsidR="00165D69">
        <w:rPr>
          <w:rFonts w:ascii="Arial" w:hAnsi="Arial" w:cs="Arial"/>
          <w:sz w:val="20"/>
          <w:szCs w:val="20"/>
        </w:rPr>
        <w:t>transporto priemonėje montuojama įranga</w:t>
      </w:r>
      <w:r w:rsidRPr="008E059E">
        <w:rPr>
          <w:rFonts w:ascii="Arial" w:hAnsi="Arial" w:cs="Arial"/>
          <w:sz w:val="20"/>
          <w:szCs w:val="20"/>
          <w:lang w:eastAsia="lt-LT"/>
        </w:rPr>
        <w:t xml:space="preserve">, </w:t>
      </w:r>
      <w:r w:rsidRPr="008E059E" w:rsidR="00165D69">
        <w:rPr>
          <w:rFonts w:ascii="Arial" w:hAnsi="Arial" w:cs="Arial"/>
          <w:sz w:val="20"/>
          <w:szCs w:val="20"/>
          <w:lang w:eastAsia="lt-LT"/>
        </w:rPr>
        <w:t xml:space="preserve">kuria </w:t>
      </w:r>
      <w:r w:rsidRPr="008E059E">
        <w:rPr>
          <w:rFonts w:ascii="Arial" w:hAnsi="Arial" w:cs="Arial"/>
          <w:sz w:val="20"/>
          <w:szCs w:val="20"/>
          <w:lang w:eastAsia="lt-LT"/>
        </w:rPr>
        <w:t>per ataskaitinį mėnesį buvo užregistruota bent viena mokama kelionė Lietuvos Respublikos kelių rinkliavos teritorijoje. </w:t>
      </w:r>
    </w:p>
    <w:p w:rsidRPr="008E059E" w:rsidR="000341BA" w:rsidP="000341BA" w:rsidRDefault="000341BA" w14:paraId="63876FC4" w14:textId="19A51775">
      <w:pPr>
        <w:pStyle w:val="ListParagraph"/>
        <w:numPr>
          <w:ilvl w:val="1"/>
          <w:numId w:val="6"/>
        </w:numPr>
        <w:spacing w:after="0" w:line="240" w:lineRule="auto"/>
        <w:ind w:left="851" w:hanging="851"/>
        <w:jc w:val="both"/>
        <w:textAlignment w:val="baseline"/>
        <w:rPr>
          <w:rFonts w:ascii="Arial" w:hAnsi="Arial" w:eastAsia="Times New Roman" w:cs="Arial"/>
          <w:kern w:val="0"/>
          <w:sz w:val="20"/>
          <w:szCs w:val="20"/>
          <w:lang w:eastAsia="lt-LT"/>
          <w14:ligatures w14:val="none"/>
        </w:rPr>
      </w:pPr>
      <w:r w:rsidRPr="008E059E">
        <w:rPr>
          <w:rFonts w:ascii="Arial" w:hAnsi="Arial" w:eastAsia="Times New Roman" w:cs="Arial"/>
          <w:kern w:val="0"/>
          <w:sz w:val="20"/>
          <w:szCs w:val="20"/>
          <w:lang w:eastAsia="lt-LT"/>
          <w14:ligatures w14:val="none"/>
        </w:rPr>
        <w:t xml:space="preserve">EERP teikėjui </w:t>
      </w:r>
      <w:r w:rsidRPr="008E059E" w:rsidR="0011153E">
        <w:rPr>
          <w:rFonts w:ascii="Arial" w:hAnsi="Arial" w:eastAsia="Times New Roman" w:cs="Arial"/>
          <w:kern w:val="0"/>
          <w:sz w:val="20"/>
          <w:szCs w:val="20"/>
          <w:lang w:eastAsia="lt-LT"/>
          <w14:ligatures w14:val="none"/>
        </w:rPr>
        <w:t xml:space="preserve">mokamo fiksuoto  atlygio dalies dydis </w:t>
      </w:r>
      <w:r w:rsidRPr="008E059E">
        <w:rPr>
          <w:rFonts w:ascii="Arial" w:hAnsi="Arial" w:eastAsia="Times New Roman" w:cs="Arial"/>
          <w:kern w:val="0"/>
          <w:sz w:val="20"/>
          <w:szCs w:val="20"/>
          <w:lang w:eastAsia="lt-LT"/>
          <w14:ligatures w14:val="none"/>
        </w:rPr>
        <w:t xml:space="preserve">– 2 EUR už </w:t>
      </w:r>
      <w:r w:rsidRPr="008E059E" w:rsidR="00F75F11">
        <w:rPr>
          <w:rFonts w:ascii="Arial" w:hAnsi="Arial" w:eastAsia="Times New Roman" w:cs="Arial"/>
          <w:kern w:val="0"/>
          <w:sz w:val="20"/>
          <w:szCs w:val="20"/>
          <w:lang w:eastAsia="lt-LT"/>
          <w14:ligatures w14:val="none"/>
        </w:rPr>
        <w:t xml:space="preserve">Aktyvų </w:t>
      </w:r>
      <w:r w:rsidRPr="008E059E">
        <w:rPr>
          <w:rFonts w:ascii="Arial" w:hAnsi="Arial" w:eastAsia="Times New Roman" w:cs="Arial"/>
          <w:kern w:val="0"/>
          <w:sz w:val="20"/>
          <w:szCs w:val="20"/>
          <w:lang w:eastAsia="lt-LT"/>
          <w14:ligatures w14:val="none"/>
        </w:rPr>
        <w:t>TPMĮ. </w:t>
      </w:r>
    </w:p>
    <w:p w:rsidRPr="008E059E" w:rsidR="000341BA" w:rsidP="000341BA" w:rsidRDefault="00885F2D" w14:paraId="5DD79E49" w14:textId="1E2D52DE">
      <w:pPr>
        <w:pStyle w:val="ListParagraph"/>
        <w:numPr>
          <w:ilvl w:val="1"/>
          <w:numId w:val="6"/>
        </w:numPr>
        <w:spacing w:after="0" w:line="240" w:lineRule="auto"/>
        <w:ind w:left="851" w:hanging="851"/>
        <w:jc w:val="both"/>
        <w:textAlignment w:val="baseline"/>
        <w:rPr>
          <w:rFonts w:ascii="Arial" w:hAnsi="Arial" w:eastAsia="Times New Roman" w:cs="Arial"/>
          <w:kern w:val="0"/>
          <w:sz w:val="20"/>
          <w:szCs w:val="20"/>
          <w:lang w:eastAsia="lt-LT"/>
          <w14:ligatures w14:val="none"/>
        </w:rPr>
      </w:pPr>
      <w:r w:rsidRPr="008E059E">
        <w:rPr>
          <w:rFonts w:ascii="Arial" w:hAnsi="Arial" w:eastAsia="Times New Roman" w:cs="Arial"/>
          <w:kern w:val="0"/>
          <w:sz w:val="20"/>
          <w:szCs w:val="20"/>
          <w:lang w:eastAsia="lt-LT"/>
          <w14:ligatures w14:val="none"/>
        </w:rPr>
        <w:t>Fiksuota  atlygio dalis</w:t>
      </w:r>
      <w:r w:rsidRPr="008E059E" w:rsidR="005061EF">
        <w:rPr>
          <w:rFonts w:ascii="Arial" w:hAnsi="Arial" w:eastAsia="Times New Roman" w:cs="Arial"/>
          <w:kern w:val="0"/>
          <w:sz w:val="20"/>
          <w:szCs w:val="20"/>
          <w:lang w:eastAsia="lt-LT"/>
          <w14:ligatures w14:val="none"/>
        </w:rPr>
        <w:t xml:space="preserve"> </w:t>
      </w:r>
      <w:r w:rsidRPr="008E059E" w:rsidR="000341BA">
        <w:rPr>
          <w:rFonts w:ascii="Arial" w:hAnsi="Arial" w:eastAsia="Times New Roman" w:cs="Arial"/>
          <w:kern w:val="0"/>
          <w:sz w:val="20"/>
          <w:szCs w:val="20"/>
          <w:lang w:eastAsia="lt-LT"/>
          <w14:ligatures w14:val="none"/>
        </w:rPr>
        <w:t xml:space="preserve">mokama </w:t>
      </w:r>
      <w:r w:rsidRPr="008E059E">
        <w:rPr>
          <w:rFonts w:ascii="Arial" w:hAnsi="Arial" w:eastAsia="Times New Roman" w:cs="Arial"/>
          <w:kern w:val="0"/>
          <w:sz w:val="20"/>
          <w:szCs w:val="20"/>
          <w:lang w:eastAsia="lt-LT"/>
          <w14:ligatures w14:val="none"/>
        </w:rPr>
        <w:t xml:space="preserve">už </w:t>
      </w:r>
      <w:r w:rsidRPr="008E059E" w:rsidR="00453276">
        <w:rPr>
          <w:rFonts w:ascii="Arial" w:hAnsi="Arial" w:eastAsia="Times New Roman" w:cs="Arial"/>
          <w:kern w:val="0"/>
          <w:sz w:val="20"/>
          <w:szCs w:val="20"/>
          <w:lang w:eastAsia="lt-LT"/>
          <w14:ligatures w14:val="none"/>
        </w:rPr>
        <w:t xml:space="preserve">ataskaitinį </w:t>
      </w:r>
      <w:r w:rsidRPr="008E059E" w:rsidR="000341BA">
        <w:rPr>
          <w:rFonts w:ascii="Arial" w:hAnsi="Arial" w:eastAsia="Times New Roman" w:cs="Arial"/>
          <w:kern w:val="0"/>
          <w:sz w:val="20"/>
          <w:szCs w:val="20"/>
          <w:lang w:eastAsia="lt-LT"/>
          <w14:ligatures w14:val="none"/>
        </w:rPr>
        <w:t xml:space="preserve">mėnesį EERP teikėjo Lietuvos teritorijoje veikusių TPMĮ </w:t>
      </w:r>
      <w:r w:rsidRPr="008E059E" w:rsidR="00453276">
        <w:rPr>
          <w:rFonts w:ascii="Arial" w:hAnsi="Arial" w:eastAsia="Times New Roman" w:cs="Arial"/>
          <w:kern w:val="0"/>
          <w:sz w:val="20"/>
          <w:szCs w:val="20"/>
          <w:lang w:eastAsia="lt-LT"/>
          <w14:ligatures w14:val="none"/>
        </w:rPr>
        <w:t>skaičių</w:t>
      </w:r>
      <w:r w:rsidRPr="008E059E" w:rsidR="000341BA">
        <w:rPr>
          <w:rFonts w:ascii="Arial" w:hAnsi="Arial" w:eastAsia="Times New Roman" w:cs="Arial"/>
          <w:kern w:val="0"/>
          <w:sz w:val="20"/>
          <w:szCs w:val="20"/>
          <w:lang w:eastAsia="lt-LT"/>
          <w14:ligatures w14:val="none"/>
        </w:rPr>
        <w:t>.</w:t>
      </w:r>
    </w:p>
    <w:p w:rsidRPr="008E059E" w:rsidR="00DB65B6" w:rsidP="00DB65B6" w:rsidRDefault="00DB65B6" w14:paraId="251CD08F" w14:textId="6D873BE1">
      <w:pPr>
        <w:pStyle w:val="ListParagraph"/>
        <w:numPr>
          <w:ilvl w:val="1"/>
          <w:numId w:val="6"/>
        </w:numPr>
        <w:spacing w:after="0" w:line="240" w:lineRule="auto"/>
        <w:ind w:left="851" w:hanging="851"/>
        <w:jc w:val="both"/>
        <w:textAlignment w:val="baseline"/>
        <w:rPr>
          <w:rFonts w:ascii="Arial" w:hAnsi="Arial" w:eastAsia="Times New Roman" w:cs="Arial"/>
          <w:kern w:val="0"/>
          <w:sz w:val="20"/>
          <w:szCs w:val="20"/>
          <w:lang w:eastAsia="lt-LT"/>
          <w14:ligatures w14:val="none"/>
        </w:rPr>
      </w:pPr>
      <w:r w:rsidRPr="008E059E">
        <w:rPr>
          <w:rFonts w:ascii="Arial" w:hAnsi="Arial" w:eastAsia="Times New Roman" w:cs="Arial"/>
          <w:kern w:val="0"/>
          <w:sz w:val="20"/>
          <w:szCs w:val="20"/>
          <w:lang w:eastAsia="lt-LT"/>
          <w14:ligatures w14:val="none"/>
        </w:rPr>
        <w:t xml:space="preserve">EERP teikėjui </w:t>
      </w:r>
      <w:r w:rsidRPr="008E059E" w:rsidR="008B212E">
        <w:rPr>
          <w:rFonts w:ascii="Arial" w:hAnsi="Arial" w:eastAsia="Times New Roman" w:cs="Arial"/>
          <w:kern w:val="0"/>
          <w:sz w:val="20"/>
          <w:szCs w:val="20"/>
          <w:lang w:eastAsia="lt-LT"/>
          <w14:ligatures w14:val="none"/>
        </w:rPr>
        <w:t xml:space="preserve">fiksuota  atlygio dalis </w:t>
      </w:r>
      <w:r w:rsidRPr="008E059E">
        <w:rPr>
          <w:rFonts w:ascii="Arial" w:hAnsi="Arial" w:eastAsia="Times New Roman" w:cs="Arial"/>
          <w:kern w:val="0"/>
          <w:sz w:val="20"/>
          <w:szCs w:val="20"/>
          <w:lang w:eastAsia="lt-LT"/>
          <w14:ligatures w14:val="none"/>
        </w:rPr>
        <w:t>už paslaugų teikimą bandomuoju periodu nemokama.  </w:t>
      </w:r>
    </w:p>
    <w:p w:rsidRPr="008E059E" w:rsidR="000341BA" w:rsidP="000341BA" w:rsidRDefault="000341BA" w14:paraId="15291322" w14:textId="77777777">
      <w:pPr>
        <w:spacing w:after="0" w:line="240" w:lineRule="auto"/>
        <w:ind w:hanging="720"/>
        <w:jc w:val="both"/>
        <w:textAlignment w:val="baseline"/>
        <w:rPr>
          <w:rFonts w:ascii="Arial" w:hAnsi="Arial" w:eastAsia="Times New Roman" w:cs="Arial"/>
          <w:kern w:val="0"/>
          <w:sz w:val="20"/>
          <w:szCs w:val="20"/>
          <w:lang w:eastAsia="lt-LT"/>
          <w14:ligatures w14:val="none"/>
        </w:rPr>
      </w:pPr>
      <w:r w:rsidRPr="008E059E">
        <w:rPr>
          <w:rFonts w:ascii="Arial" w:hAnsi="Arial" w:eastAsia="Times New Roman" w:cs="Arial"/>
          <w:kern w:val="0"/>
          <w:sz w:val="20"/>
          <w:szCs w:val="20"/>
          <w:lang w:eastAsia="lt-LT"/>
          <w14:ligatures w14:val="none"/>
        </w:rPr>
        <w:t> </w:t>
      </w:r>
    </w:p>
    <w:p w:rsidRPr="008E059E" w:rsidR="000341BA" w:rsidP="000341BA" w:rsidRDefault="000341BA" w14:paraId="63CFBE97" w14:textId="77777777">
      <w:pPr>
        <w:spacing w:after="0" w:line="240" w:lineRule="auto"/>
        <w:jc w:val="center"/>
        <w:textAlignment w:val="baseline"/>
        <w:rPr>
          <w:rFonts w:ascii="Arial" w:hAnsi="Arial" w:eastAsia="Times New Roman" w:cs="Arial"/>
          <w:b/>
          <w:bCs/>
          <w:kern w:val="0"/>
          <w:sz w:val="20"/>
          <w:szCs w:val="20"/>
          <w:lang w:eastAsia="lt-LT"/>
          <w14:ligatures w14:val="none"/>
        </w:rPr>
      </w:pPr>
      <w:r w:rsidRPr="008E059E">
        <w:rPr>
          <w:rFonts w:ascii="Arial" w:hAnsi="Arial" w:eastAsia="Times New Roman" w:cs="Arial"/>
          <w:b/>
          <w:bCs/>
          <w:kern w:val="0"/>
          <w:sz w:val="20"/>
          <w:szCs w:val="20"/>
          <w:lang w:eastAsia="lt-LT"/>
          <w14:ligatures w14:val="none"/>
        </w:rPr>
        <w:t>6. Duomenų patvirtinimas</w:t>
      </w:r>
    </w:p>
    <w:p w:rsidRPr="008E059E" w:rsidR="000341BA" w:rsidP="000341BA" w:rsidRDefault="000341BA" w14:paraId="33CF8C62" w14:textId="77777777">
      <w:pPr>
        <w:spacing w:after="0" w:line="240" w:lineRule="auto"/>
        <w:jc w:val="center"/>
        <w:textAlignment w:val="baseline"/>
        <w:rPr>
          <w:rFonts w:ascii="Arial" w:hAnsi="Arial" w:eastAsia="Times New Roman" w:cs="Arial"/>
          <w:kern w:val="0"/>
          <w:sz w:val="20"/>
          <w:szCs w:val="20"/>
          <w:lang w:eastAsia="lt-LT"/>
          <w14:ligatures w14:val="none"/>
        </w:rPr>
      </w:pPr>
    </w:p>
    <w:p w:rsidRPr="008E059E" w:rsidR="000341BA" w:rsidP="000341BA" w:rsidRDefault="000341BA" w14:paraId="3C496A29" w14:textId="78111BA0">
      <w:pPr>
        <w:pStyle w:val="ListParagraph"/>
        <w:numPr>
          <w:ilvl w:val="1"/>
          <w:numId w:val="7"/>
        </w:numPr>
        <w:spacing w:after="0" w:line="240" w:lineRule="auto"/>
        <w:ind w:left="851" w:hanging="851"/>
        <w:jc w:val="both"/>
        <w:textAlignment w:val="baseline"/>
        <w:rPr>
          <w:rFonts w:ascii="Arial" w:hAnsi="Arial" w:eastAsia="Times New Roman" w:cs="Arial"/>
          <w:kern w:val="0"/>
          <w:sz w:val="20"/>
          <w:szCs w:val="20"/>
          <w:lang w:eastAsia="lt-LT"/>
          <w14:ligatures w14:val="none"/>
        </w:rPr>
      </w:pPr>
      <w:r w:rsidRPr="008E059E">
        <w:rPr>
          <w:rFonts w:ascii="Arial" w:hAnsi="Arial" w:eastAsia="Times New Roman" w:cs="Arial"/>
          <w:kern w:val="0"/>
          <w:sz w:val="20"/>
          <w:szCs w:val="20"/>
          <w:lang w:eastAsia="lt-LT"/>
          <w14:ligatures w14:val="none"/>
        </w:rPr>
        <w:t xml:space="preserve">Surinktos </w:t>
      </w:r>
      <w:r w:rsidRPr="008E059E" w:rsidR="0057529C">
        <w:rPr>
          <w:rFonts w:ascii="Arial" w:hAnsi="Arial" w:eastAsia="Times New Roman" w:cs="Arial"/>
          <w:kern w:val="0"/>
          <w:sz w:val="20"/>
          <w:szCs w:val="20"/>
          <w:lang w:eastAsia="lt-LT"/>
          <w14:ligatures w14:val="none"/>
        </w:rPr>
        <w:t xml:space="preserve">elektroninės kelių </w:t>
      </w:r>
      <w:r w:rsidRPr="008E059E">
        <w:rPr>
          <w:rFonts w:ascii="Arial" w:hAnsi="Arial" w:eastAsia="Times New Roman" w:cs="Arial"/>
          <w:kern w:val="0"/>
          <w:sz w:val="20"/>
          <w:szCs w:val="20"/>
          <w:lang w:eastAsia="lt-LT"/>
          <w14:ligatures w14:val="none"/>
        </w:rPr>
        <w:t>rinkliavos duomenys tikrinami ir tvirtinami remiantis Sistemos ataskaitomis.  </w:t>
      </w:r>
    </w:p>
    <w:p w:rsidRPr="008E059E" w:rsidR="000341BA" w:rsidP="008E059E" w:rsidRDefault="000341BA" w14:paraId="677A8993" w14:textId="27B40DEB">
      <w:pPr>
        <w:pStyle w:val="ListParagraph"/>
        <w:numPr>
          <w:ilvl w:val="1"/>
          <w:numId w:val="7"/>
        </w:numPr>
        <w:tabs>
          <w:tab w:val="left" w:pos="284"/>
        </w:tabs>
        <w:spacing w:after="0" w:line="240" w:lineRule="auto"/>
        <w:ind w:left="851" w:hanging="851"/>
        <w:jc w:val="both"/>
        <w:textAlignment w:val="baseline"/>
        <w:rPr>
          <w:rFonts w:ascii="Arial" w:hAnsi="Arial" w:eastAsia="Times New Roman" w:cs="Arial"/>
          <w:kern w:val="0"/>
          <w:sz w:val="20"/>
          <w:szCs w:val="20"/>
          <w:lang w:eastAsia="lt-LT"/>
          <w14:ligatures w14:val="none"/>
        </w:rPr>
      </w:pPr>
      <w:r w:rsidRPr="008E059E">
        <w:rPr>
          <w:rFonts w:ascii="Arial" w:hAnsi="Arial" w:eastAsia="Times New Roman" w:cs="Arial"/>
          <w:kern w:val="0"/>
          <w:sz w:val="20"/>
          <w:szCs w:val="20"/>
          <w:lang w:eastAsia="lt-LT"/>
          <w14:ligatures w14:val="none"/>
        </w:rPr>
        <w:t xml:space="preserve">Esant neatitikimams tarp EERP teikėjo pateiktų duomenų ir Bendrovės duomenų, atlygis apskaičiuojamas pagal </w:t>
      </w:r>
      <w:r w:rsidRPr="008E059E" w:rsidR="00B57733">
        <w:rPr>
          <w:rFonts w:ascii="Arial" w:hAnsi="Arial" w:eastAsia="Times New Roman" w:cs="Arial"/>
          <w:kern w:val="0"/>
          <w:sz w:val="20"/>
          <w:szCs w:val="20"/>
          <w:lang w:eastAsia="lt-LT"/>
          <w14:ligatures w14:val="none"/>
        </w:rPr>
        <w:t xml:space="preserve">Sutarties sąlygas ir </w:t>
      </w:r>
      <w:r w:rsidRPr="008E059E">
        <w:rPr>
          <w:rFonts w:ascii="Arial" w:hAnsi="Arial" w:eastAsia="Times New Roman" w:cs="Arial"/>
          <w:kern w:val="0"/>
          <w:sz w:val="20"/>
          <w:szCs w:val="20"/>
          <w:lang w:eastAsia="lt-LT"/>
          <w14:ligatures w14:val="none"/>
        </w:rPr>
        <w:t>Bendrovės patvirtintus duomenis. </w:t>
      </w:r>
    </w:p>
    <w:p w:rsidRPr="008E059E" w:rsidR="000341BA" w:rsidP="000341BA" w:rsidRDefault="000341BA" w14:paraId="62FCAEB5" w14:textId="435DB0C0">
      <w:pPr>
        <w:pStyle w:val="ListParagraph"/>
        <w:numPr>
          <w:ilvl w:val="1"/>
          <w:numId w:val="7"/>
        </w:numPr>
        <w:spacing w:after="0" w:line="240" w:lineRule="auto"/>
        <w:ind w:left="851" w:hanging="851"/>
        <w:jc w:val="both"/>
        <w:textAlignment w:val="baseline"/>
        <w:rPr>
          <w:rFonts w:ascii="Arial" w:hAnsi="Arial" w:eastAsia="Times New Roman" w:cs="Arial"/>
          <w:kern w:val="0"/>
          <w:sz w:val="20"/>
          <w:szCs w:val="20"/>
          <w:lang w:eastAsia="lt-LT"/>
          <w14:ligatures w14:val="none"/>
        </w:rPr>
      </w:pPr>
      <w:r w:rsidRPr="008E059E">
        <w:rPr>
          <w:rFonts w:ascii="Arial" w:hAnsi="Arial" w:eastAsia="Times New Roman" w:cs="Arial"/>
          <w:kern w:val="0"/>
          <w:sz w:val="20"/>
          <w:szCs w:val="20"/>
          <w:lang w:eastAsia="lt-LT"/>
          <w14:ligatures w14:val="none"/>
        </w:rPr>
        <w:t>Siekiant fiskalinio stabilumo ir proporcingumo, bendra EERP teikėjo atlygio suma  negali viršyti 6,0 % nuo faktiškai surinktos rinkliavos už ataskaitinį laikotarpį. </w:t>
      </w:r>
    </w:p>
    <w:p w:rsidRPr="008E059E" w:rsidR="000341BA" w:rsidP="000341BA" w:rsidRDefault="000341BA" w14:paraId="12C73B96" w14:textId="15A49731">
      <w:pPr>
        <w:pStyle w:val="ListParagraph"/>
        <w:numPr>
          <w:ilvl w:val="1"/>
          <w:numId w:val="7"/>
        </w:numPr>
        <w:spacing w:after="0" w:line="240" w:lineRule="auto"/>
        <w:ind w:left="851" w:hanging="851"/>
        <w:jc w:val="both"/>
        <w:textAlignment w:val="baseline"/>
        <w:rPr>
          <w:rFonts w:ascii="Arial" w:hAnsi="Arial" w:eastAsia="Times New Roman" w:cs="Arial"/>
          <w:kern w:val="0"/>
          <w:sz w:val="20"/>
          <w:szCs w:val="20"/>
          <w:lang w:eastAsia="lt-LT"/>
          <w14:ligatures w14:val="none"/>
        </w:rPr>
      </w:pPr>
      <w:r w:rsidRPr="008E059E">
        <w:rPr>
          <w:rFonts w:ascii="Arial" w:hAnsi="Arial" w:eastAsia="Times New Roman" w:cs="Arial"/>
          <w:kern w:val="0"/>
          <w:sz w:val="20"/>
          <w:szCs w:val="20"/>
          <w:lang w:eastAsia="lt-LT"/>
          <w14:ligatures w14:val="none"/>
        </w:rPr>
        <w:t xml:space="preserve">Pirmiausia mokama visa </w:t>
      </w:r>
      <w:r w:rsidRPr="008E059E" w:rsidR="0003250C">
        <w:rPr>
          <w:rFonts w:ascii="Arial" w:hAnsi="Arial" w:eastAsia="Times New Roman" w:cs="Arial"/>
          <w:kern w:val="0"/>
          <w:sz w:val="20"/>
          <w:szCs w:val="20"/>
          <w:lang w:eastAsia="lt-LT"/>
          <w14:ligatures w14:val="none"/>
        </w:rPr>
        <w:t xml:space="preserve">fiksuota procentinio </w:t>
      </w:r>
      <w:r w:rsidRPr="008E059E">
        <w:rPr>
          <w:rFonts w:ascii="Arial" w:hAnsi="Arial" w:eastAsia="Times New Roman" w:cs="Arial"/>
          <w:kern w:val="0"/>
          <w:sz w:val="20"/>
          <w:szCs w:val="20"/>
          <w:lang w:eastAsia="lt-LT"/>
          <w14:ligatures w14:val="none"/>
        </w:rPr>
        <w:t xml:space="preserve">atlygio dalis, o </w:t>
      </w:r>
      <w:r w:rsidRPr="008E059E" w:rsidR="0003250C">
        <w:rPr>
          <w:rFonts w:ascii="Arial" w:hAnsi="Arial" w:eastAsia="Times New Roman" w:cs="Arial"/>
          <w:kern w:val="0"/>
          <w:sz w:val="20"/>
          <w:szCs w:val="20"/>
          <w:lang w:eastAsia="lt-LT"/>
          <w14:ligatures w14:val="none"/>
        </w:rPr>
        <w:t xml:space="preserve">fiksuota </w:t>
      </w:r>
      <w:r w:rsidRPr="008E059E">
        <w:rPr>
          <w:rFonts w:ascii="Arial" w:hAnsi="Arial" w:eastAsia="Times New Roman" w:cs="Arial"/>
          <w:kern w:val="0"/>
          <w:sz w:val="20"/>
          <w:szCs w:val="20"/>
          <w:lang w:eastAsia="lt-LT"/>
          <w14:ligatures w14:val="none"/>
        </w:rPr>
        <w:t xml:space="preserve">atlygio dalis mažinama tiek, kiek būtina užtikrinti, kad bendra </w:t>
      </w:r>
      <w:r w:rsidRPr="008E059E" w:rsidR="008E61C1">
        <w:rPr>
          <w:rFonts w:ascii="Arial" w:hAnsi="Arial" w:eastAsia="Times New Roman" w:cs="Arial"/>
          <w:kern w:val="0"/>
          <w:sz w:val="20"/>
          <w:szCs w:val="20"/>
          <w:lang w:eastAsia="lt-LT"/>
          <w14:ligatures w14:val="none"/>
        </w:rPr>
        <w:t xml:space="preserve">EERP </w:t>
      </w:r>
      <w:r w:rsidRPr="008E059E">
        <w:rPr>
          <w:rFonts w:ascii="Arial" w:hAnsi="Arial" w:eastAsia="Times New Roman" w:cs="Arial"/>
          <w:kern w:val="0"/>
          <w:sz w:val="20"/>
          <w:szCs w:val="20"/>
          <w:lang w:eastAsia="lt-LT"/>
          <w14:ligatures w14:val="none"/>
        </w:rPr>
        <w:t>atlygio suma neviršytų 6,0 proc. nuo surinktos rinkliavos</w:t>
      </w:r>
      <w:r w:rsidRPr="008E059E" w:rsidR="008E61C1">
        <w:rPr>
          <w:rFonts w:ascii="Arial" w:hAnsi="Arial" w:eastAsia="Times New Roman" w:cs="Arial"/>
          <w:kern w:val="0"/>
          <w:sz w:val="20"/>
          <w:szCs w:val="20"/>
          <w:lang w:eastAsia="lt-LT"/>
          <w14:ligatures w14:val="none"/>
        </w:rPr>
        <w:t xml:space="preserve"> sumos</w:t>
      </w:r>
      <w:r w:rsidRPr="008E059E">
        <w:rPr>
          <w:rFonts w:ascii="Arial" w:hAnsi="Arial" w:eastAsia="Times New Roman" w:cs="Arial"/>
          <w:kern w:val="0"/>
          <w:sz w:val="20"/>
          <w:szCs w:val="20"/>
          <w:lang w:eastAsia="lt-LT"/>
          <w14:ligatures w14:val="none"/>
        </w:rPr>
        <w:t>. </w:t>
      </w:r>
    </w:p>
    <w:p w:rsidRPr="008E059E" w:rsidR="000341BA" w:rsidP="000341BA" w:rsidRDefault="000341BA" w14:paraId="00459734" w14:textId="77777777">
      <w:pPr>
        <w:spacing w:after="0" w:line="240" w:lineRule="auto"/>
        <w:jc w:val="both"/>
        <w:textAlignment w:val="baseline"/>
        <w:rPr>
          <w:rFonts w:ascii="Arial" w:hAnsi="Arial" w:eastAsia="Times New Roman" w:cs="Arial"/>
          <w:kern w:val="0"/>
          <w:sz w:val="20"/>
          <w:szCs w:val="20"/>
          <w:lang w:eastAsia="lt-LT"/>
          <w14:ligatures w14:val="none"/>
        </w:rPr>
      </w:pPr>
    </w:p>
    <w:p w:rsidRPr="008E059E" w:rsidR="000341BA" w:rsidP="000341BA" w:rsidRDefault="000341BA" w14:paraId="08C651BA" w14:textId="77777777">
      <w:pPr>
        <w:numPr>
          <w:ilvl w:val="0"/>
          <w:numId w:val="2"/>
        </w:numPr>
        <w:spacing w:after="0" w:line="240" w:lineRule="auto"/>
        <w:ind w:firstLine="0"/>
        <w:jc w:val="center"/>
        <w:textAlignment w:val="baseline"/>
        <w:rPr>
          <w:rFonts w:ascii="Arial" w:hAnsi="Arial" w:eastAsia="Times New Roman" w:cs="Arial"/>
          <w:kern w:val="0"/>
          <w:sz w:val="20"/>
          <w:szCs w:val="20"/>
          <w:lang w:eastAsia="lt-LT"/>
          <w14:ligatures w14:val="none"/>
        </w:rPr>
      </w:pPr>
      <w:r w:rsidRPr="008E059E">
        <w:rPr>
          <w:rFonts w:ascii="Arial" w:hAnsi="Arial" w:eastAsia="Times New Roman" w:cs="Arial"/>
          <w:b/>
          <w:bCs/>
          <w:kern w:val="0"/>
          <w:sz w:val="20"/>
          <w:szCs w:val="20"/>
          <w:lang w:eastAsia="lt-LT"/>
          <w14:ligatures w14:val="none"/>
        </w:rPr>
        <w:t>Atlygio dydžio keitimas</w:t>
      </w:r>
    </w:p>
    <w:p w:rsidRPr="008E059E" w:rsidR="000341BA" w:rsidP="000341BA" w:rsidRDefault="000341BA" w14:paraId="3B3A0A03" w14:textId="77777777">
      <w:pPr>
        <w:spacing w:after="0" w:line="240" w:lineRule="auto"/>
        <w:textAlignment w:val="baseline"/>
        <w:rPr>
          <w:rFonts w:ascii="Arial" w:hAnsi="Arial" w:eastAsia="Times New Roman" w:cs="Arial"/>
          <w:kern w:val="0"/>
          <w:sz w:val="20"/>
          <w:szCs w:val="20"/>
          <w:lang w:eastAsia="lt-LT"/>
          <w14:ligatures w14:val="none"/>
        </w:rPr>
      </w:pPr>
    </w:p>
    <w:p w:rsidRPr="008E059E" w:rsidR="000341BA" w:rsidP="000341BA" w:rsidRDefault="000341BA" w14:paraId="3C9EFB35" w14:textId="78F8919A">
      <w:pPr>
        <w:pStyle w:val="ListParagraph"/>
        <w:numPr>
          <w:ilvl w:val="1"/>
          <w:numId w:val="8"/>
        </w:numPr>
        <w:spacing w:after="0" w:line="240" w:lineRule="auto"/>
        <w:ind w:left="851" w:hanging="851"/>
        <w:jc w:val="both"/>
        <w:textAlignment w:val="baseline"/>
        <w:rPr>
          <w:rFonts w:ascii="Arial" w:hAnsi="Arial" w:eastAsia="Times New Roman" w:cs="Arial"/>
          <w:kern w:val="0"/>
          <w:sz w:val="20"/>
          <w:szCs w:val="20"/>
          <w:lang w:eastAsia="lt-LT"/>
          <w14:ligatures w14:val="none"/>
        </w:rPr>
      </w:pPr>
      <w:r w:rsidRPr="008E059E">
        <w:rPr>
          <w:rFonts w:ascii="Arial" w:hAnsi="Arial" w:eastAsia="Times New Roman" w:cs="Arial"/>
          <w:kern w:val="0"/>
          <w:sz w:val="20"/>
          <w:szCs w:val="20"/>
          <w:lang w:eastAsia="lt-LT"/>
          <w14:ligatures w14:val="none"/>
        </w:rPr>
        <w:t xml:space="preserve">Pirmą kartą nustačius EERP teikėjų atlygio </w:t>
      </w:r>
      <w:r w:rsidRPr="008E059E" w:rsidR="00CC488C">
        <w:rPr>
          <w:rFonts w:ascii="Arial" w:hAnsi="Arial" w:eastAsia="Times New Roman" w:cs="Arial"/>
          <w:kern w:val="0"/>
          <w:sz w:val="20"/>
          <w:szCs w:val="20"/>
          <w:lang w:eastAsia="lt-LT"/>
          <w14:ligatures w14:val="none"/>
        </w:rPr>
        <w:t>dydį,</w:t>
      </w:r>
      <w:r w:rsidRPr="008E059E" w:rsidR="00FB583F">
        <w:rPr>
          <w:rFonts w:ascii="Arial" w:hAnsi="Arial" w:eastAsia="Times New Roman" w:cs="Arial"/>
          <w:kern w:val="0"/>
          <w:sz w:val="20"/>
          <w:szCs w:val="20"/>
          <w:lang w:eastAsia="lt-LT"/>
          <w14:ligatures w14:val="none"/>
        </w:rPr>
        <w:t xml:space="preserve"> j</w:t>
      </w:r>
      <w:r w:rsidRPr="008E059E" w:rsidR="00CC488C">
        <w:rPr>
          <w:rFonts w:ascii="Arial" w:hAnsi="Arial" w:eastAsia="Times New Roman" w:cs="Arial"/>
          <w:kern w:val="0"/>
          <w:sz w:val="20"/>
          <w:szCs w:val="20"/>
          <w:lang w:eastAsia="lt-LT"/>
          <w14:ligatures w14:val="none"/>
        </w:rPr>
        <w:t>i</w:t>
      </w:r>
      <w:r w:rsidRPr="008E059E" w:rsidR="00FB583F">
        <w:rPr>
          <w:rFonts w:ascii="Arial" w:hAnsi="Arial" w:eastAsia="Times New Roman" w:cs="Arial"/>
          <w:kern w:val="0"/>
          <w:sz w:val="20"/>
          <w:szCs w:val="20"/>
          <w:lang w:eastAsia="lt-LT"/>
          <w14:ligatures w14:val="none"/>
        </w:rPr>
        <w:t>s</w:t>
      </w:r>
      <w:r w:rsidRPr="008E059E" w:rsidR="00C3729F">
        <w:rPr>
          <w:rFonts w:ascii="Arial" w:hAnsi="Arial" w:eastAsia="Times New Roman" w:cs="Arial"/>
          <w:kern w:val="0"/>
          <w:sz w:val="20"/>
          <w:szCs w:val="20"/>
          <w:lang w:eastAsia="lt-LT"/>
          <w14:ligatures w14:val="none"/>
        </w:rPr>
        <w:t xml:space="preserve"> </w:t>
      </w:r>
      <w:r w:rsidRPr="008E059E">
        <w:rPr>
          <w:rFonts w:ascii="Arial" w:hAnsi="Arial" w:eastAsia="Times New Roman" w:cs="Arial"/>
          <w:kern w:val="0"/>
          <w:sz w:val="20"/>
          <w:szCs w:val="20"/>
          <w:lang w:eastAsia="lt-LT"/>
          <w14:ligatures w14:val="none"/>
        </w:rPr>
        <w:t xml:space="preserve">gali būti </w:t>
      </w:r>
      <w:r w:rsidRPr="008E059E" w:rsidR="00FB583F">
        <w:rPr>
          <w:rFonts w:ascii="Arial" w:hAnsi="Arial" w:eastAsia="Times New Roman" w:cs="Arial"/>
          <w:kern w:val="0"/>
          <w:sz w:val="20"/>
          <w:szCs w:val="20"/>
          <w:lang w:eastAsia="lt-LT"/>
          <w14:ligatures w14:val="none"/>
        </w:rPr>
        <w:t>keičiam</w:t>
      </w:r>
      <w:r w:rsidRPr="008E059E" w:rsidR="00CC488C">
        <w:rPr>
          <w:rFonts w:ascii="Arial" w:hAnsi="Arial" w:eastAsia="Times New Roman" w:cs="Arial"/>
          <w:kern w:val="0"/>
          <w:sz w:val="20"/>
          <w:szCs w:val="20"/>
          <w:lang w:eastAsia="lt-LT"/>
          <w14:ligatures w14:val="none"/>
        </w:rPr>
        <w:t>a</w:t>
      </w:r>
      <w:r w:rsidRPr="008E059E" w:rsidR="0098786D">
        <w:rPr>
          <w:rFonts w:ascii="Arial" w:hAnsi="Arial" w:eastAsia="Times New Roman" w:cs="Arial"/>
          <w:kern w:val="0"/>
          <w:sz w:val="20"/>
          <w:szCs w:val="20"/>
          <w:lang w:eastAsia="lt-LT"/>
          <w14:ligatures w14:val="none"/>
        </w:rPr>
        <w:t>s</w:t>
      </w:r>
      <w:r w:rsidRPr="008E059E" w:rsidR="00FB583F">
        <w:rPr>
          <w:rFonts w:ascii="Arial" w:hAnsi="Arial" w:eastAsia="Times New Roman" w:cs="Arial"/>
          <w:kern w:val="0"/>
          <w:sz w:val="20"/>
          <w:szCs w:val="20"/>
          <w:lang w:eastAsia="lt-LT"/>
          <w14:ligatures w14:val="none"/>
        </w:rPr>
        <w:t xml:space="preserve"> </w:t>
      </w:r>
      <w:r w:rsidRPr="008E059E">
        <w:rPr>
          <w:rFonts w:ascii="Arial" w:hAnsi="Arial" w:eastAsia="Times New Roman" w:cs="Arial"/>
          <w:kern w:val="0"/>
          <w:sz w:val="20"/>
          <w:szCs w:val="20"/>
          <w:lang w:eastAsia="lt-LT"/>
          <w14:ligatures w14:val="none"/>
        </w:rPr>
        <w:t>ne anksčiau nei po 2030</w:t>
      </w:r>
      <w:r w:rsidRPr="008E059E" w:rsidR="00C022E9">
        <w:rPr>
          <w:rFonts w:ascii="Arial" w:hAnsi="Arial" w:eastAsia="Times New Roman" w:cs="Arial"/>
          <w:kern w:val="0"/>
          <w:sz w:val="20"/>
          <w:szCs w:val="20"/>
          <w:lang w:eastAsia="lt-LT"/>
          <w14:ligatures w14:val="none"/>
        </w:rPr>
        <w:t xml:space="preserve"> -ųjų</w:t>
      </w:r>
      <w:r w:rsidRPr="008E059E">
        <w:rPr>
          <w:rFonts w:ascii="Arial" w:hAnsi="Arial" w:eastAsia="Times New Roman" w:cs="Arial"/>
          <w:kern w:val="0"/>
          <w:sz w:val="20"/>
          <w:szCs w:val="20"/>
          <w:lang w:eastAsia="lt-LT"/>
          <w14:ligatures w14:val="none"/>
        </w:rPr>
        <w:t xml:space="preserve"> metų. </w:t>
      </w:r>
    </w:p>
    <w:p w:rsidRPr="008E059E" w:rsidR="000341BA" w:rsidP="000341BA" w:rsidRDefault="000341BA" w14:paraId="3A1800E9" w14:textId="4EFA3820">
      <w:pPr>
        <w:pStyle w:val="ListParagraph"/>
        <w:numPr>
          <w:ilvl w:val="1"/>
          <w:numId w:val="8"/>
        </w:numPr>
        <w:spacing w:after="0" w:line="240" w:lineRule="auto"/>
        <w:ind w:left="851" w:hanging="851"/>
        <w:jc w:val="both"/>
        <w:textAlignment w:val="baseline"/>
        <w:rPr>
          <w:rFonts w:ascii="Arial" w:hAnsi="Arial" w:eastAsia="Times New Roman" w:cs="Arial"/>
          <w:kern w:val="0"/>
          <w:sz w:val="20"/>
          <w:szCs w:val="20"/>
          <w:lang w:eastAsia="lt-LT"/>
          <w14:ligatures w14:val="none"/>
        </w:rPr>
      </w:pPr>
      <w:r w:rsidRPr="008E059E">
        <w:rPr>
          <w:rFonts w:ascii="Arial" w:hAnsi="Arial" w:eastAsia="Times New Roman" w:cs="Arial"/>
          <w:kern w:val="0"/>
          <w:sz w:val="20"/>
          <w:szCs w:val="20"/>
          <w:lang w:eastAsia="lt-LT"/>
          <w14:ligatures w14:val="none"/>
        </w:rPr>
        <w:t xml:space="preserve">EERP atlygio dydis gali būti peržiūrimas </w:t>
      </w:r>
      <w:r w:rsidRPr="008E059E" w:rsidR="00507770">
        <w:rPr>
          <w:rFonts w:ascii="Arial" w:hAnsi="Arial" w:cs="Arial"/>
          <w:sz w:val="20"/>
          <w:szCs w:val="20"/>
        </w:rPr>
        <w:t>ne dažniau kaip kartą per metus</w:t>
      </w:r>
      <w:r w:rsidRPr="008E059E" w:rsidR="00507770">
        <w:rPr>
          <w:rFonts w:ascii="Arial" w:hAnsi="Arial" w:eastAsia="Times New Roman" w:cs="Arial"/>
          <w:kern w:val="0"/>
          <w:sz w:val="20"/>
          <w:szCs w:val="20"/>
          <w:lang w:eastAsia="lt-LT"/>
          <w14:ligatures w14:val="none"/>
        </w:rPr>
        <w:t xml:space="preserve"> </w:t>
      </w:r>
      <w:r w:rsidRPr="008E059E" w:rsidR="00DA64E9">
        <w:rPr>
          <w:rFonts w:ascii="Arial" w:hAnsi="Arial" w:eastAsia="Times New Roman" w:cs="Arial"/>
          <w:kern w:val="0"/>
          <w:sz w:val="20"/>
          <w:szCs w:val="20"/>
          <w:lang w:eastAsia="lt-LT"/>
          <w14:ligatures w14:val="none"/>
        </w:rPr>
        <w:t>tuo atveju, jeigu iš esmės pasikeičia</w:t>
      </w:r>
      <w:r w:rsidRPr="008E059E" w:rsidR="003E0BF6">
        <w:rPr>
          <w:rFonts w:ascii="Arial" w:hAnsi="Arial" w:eastAsia="Times New Roman" w:cs="Arial"/>
          <w:kern w:val="0"/>
          <w:sz w:val="20"/>
          <w:szCs w:val="20"/>
          <w:lang w:eastAsia="lt-LT"/>
          <w14:ligatures w14:val="none"/>
        </w:rPr>
        <w:t xml:space="preserve"> Sutarties</w:t>
      </w:r>
      <w:r w:rsidRPr="008E059E" w:rsidR="00DA7879">
        <w:rPr>
          <w:rFonts w:ascii="Arial" w:hAnsi="Arial" w:eastAsia="Times New Roman" w:cs="Arial"/>
          <w:kern w:val="0"/>
          <w:sz w:val="20"/>
          <w:szCs w:val="20"/>
          <w:lang w:eastAsia="lt-LT"/>
          <w14:ligatures w14:val="none"/>
        </w:rPr>
        <w:t xml:space="preserve"> atlygio apskaičiavimui įtakos turinčios aplinkybės</w:t>
      </w:r>
      <w:r w:rsidRPr="008E059E" w:rsidR="004C2A71">
        <w:rPr>
          <w:rFonts w:ascii="Arial" w:hAnsi="Arial" w:eastAsia="Times New Roman" w:cs="Arial"/>
          <w:kern w:val="0"/>
          <w:sz w:val="20"/>
          <w:szCs w:val="20"/>
          <w:lang w:eastAsia="lt-LT"/>
          <w14:ligatures w14:val="none"/>
        </w:rPr>
        <w:t xml:space="preserve">, </w:t>
      </w:r>
      <w:r w:rsidRPr="008E059E" w:rsidR="000C60BA">
        <w:rPr>
          <w:rFonts w:ascii="Arial" w:hAnsi="Arial" w:eastAsia="Times New Roman" w:cs="Arial"/>
          <w:kern w:val="0"/>
          <w:sz w:val="20"/>
          <w:szCs w:val="20"/>
          <w:lang w:eastAsia="lt-LT"/>
          <w14:ligatures w14:val="none"/>
        </w:rPr>
        <w:t>įskaitant, bet neapsiribojant</w:t>
      </w:r>
      <w:r w:rsidRPr="008E059E">
        <w:rPr>
          <w:rFonts w:ascii="Arial" w:hAnsi="Arial" w:eastAsia="Times New Roman" w:cs="Arial"/>
          <w:kern w:val="0"/>
          <w:sz w:val="20"/>
          <w:szCs w:val="20"/>
          <w:lang w:eastAsia="lt-LT"/>
          <w14:ligatures w14:val="none"/>
        </w:rPr>
        <w:t>: </w:t>
      </w:r>
    </w:p>
    <w:p w:rsidRPr="008E059E" w:rsidR="000341BA" w:rsidP="000341BA" w:rsidRDefault="000341BA" w14:paraId="45E7D09F" w14:textId="77777777">
      <w:pPr>
        <w:pStyle w:val="ListParagraph"/>
        <w:numPr>
          <w:ilvl w:val="2"/>
          <w:numId w:val="8"/>
        </w:numPr>
        <w:spacing w:after="0" w:line="240" w:lineRule="auto"/>
        <w:ind w:left="1560" w:hanging="709"/>
        <w:jc w:val="both"/>
        <w:textAlignment w:val="baseline"/>
        <w:rPr>
          <w:rFonts w:ascii="Arial" w:hAnsi="Arial" w:eastAsia="Times New Roman" w:cs="Arial"/>
          <w:kern w:val="0"/>
          <w:sz w:val="20"/>
          <w:szCs w:val="20"/>
          <w:lang w:eastAsia="lt-LT"/>
          <w14:ligatures w14:val="none"/>
        </w:rPr>
      </w:pPr>
      <w:r w:rsidRPr="008E059E">
        <w:rPr>
          <w:rFonts w:ascii="Arial" w:hAnsi="Arial" w:eastAsia="Times New Roman" w:cs="Arial"/>
          <w:kern w:val="0"/>
          <w:sz w:val="20"/>
          <w:szCs w:val="20"/>
          <w:lang w:eastAsia="lt-LT"/>
          <w14:ligatures w14:val="none"/>
        </w:rPr>
        <w:t>teisės aktų pokyčius;  </w:t>
      </w:r>
    </w:p>
    <w:p w:rsidRPr="008E059E" w:rsidR="000341BA" w:rsidP="000341BA" w:rsidRDefault="000341BA" w14:paraId="693B45C4" w14:textId="77777777">
      <w:pPr>
        <w:pStyle w:val="ListParagraph"/>
        <w:numPr>
          <w:ilvl w:val="2"/>
          <w:numId w:val="8"/>
        </w:numPr>
        <w:spacing w:after="0" w:line="240" w:lineRule="auto"/>
        <w:ind w:left="1560" w:hanging="709"/>
        <w:jc w:val="both"/>
        <w:textAlignment w:val="baseline"/>
        <w:rPr>
          <w:rFonts w:ascii="Arial" w:hAnsi="Arial" w:eastAsia="Times New Roman" w:cs="Arial"/>
          <w:kern w:val="0"/>
          <w:sz w:val="20"/>
          <w:szCs w:val="20"/>
          <w:lang w:eastAsia="lt-LT"/>
          <w14:ligatures w14:val="none"/>
        </w:rPr>
      </w:pPr>
      <w:r w:rsidRPr="008E059E">
        <w:rPr>
          <w:rFonts w:ascii="Arial" w:hAnsi="Arial" w:eastAsia="Times New Roman" w:cs="Arial"/>
          <w:kern w:val="0"/>
          <w:sz w:val="20"/>
          <w:szCs w:val="20"/>
          <w:lang w:eastAsia="lt-LT"/>
          <w14:ligatures w14:val="none"/>
        </w:rPr>
        <w:t>technologinius pokyčius;  </w:t>
      </w:r>
    </w:p>
    <w:p w:rsidRPr="008E059E" w:rsidR="000341BA" w:rsidP="000341BA" w:rsidRDefault="000341BA" w14:paraId="21F06086" w14:textId="77777777">
      <w:pPr>
        <w:pStyle w:val="ListParagraph"/>
        <w:numPr>
          <w:ilvl w:val="2"/>
          <w:numId w:val="8"/>
        </w:numPr>
        <w:spacing w:after="0" w:line="240" w:lineRule="auto"/>
        <w:ind w:left="1560" w:hanging="709"/>
        <w:jc w:val="both"/>
        <w:textAlignment w:val="baseline"/>
        <w:rPr>
          <w:rFonts w:ascii="Arial" w:hAnsi="Arial" w:eastAsia="Times New Roman" w:cs="Arial"/>
          <w:kern w:val="0"/>
          <w:sz w:val="20"/>
          <w:szCs w:val="20"/>
          <w:lang w:eastAsia="lt-LT"/>
          <w14:ligatures w14:val="none"/>
        </w:rPr>
      </w:pPr>
      <w:r w:rsidRPr="008E059E">
        <w:rPr>
          <w:rFonts w:ascii="Arial" w:hAnsi="Arial" w:eastAsia="Times New Roman" w:cs="Arial"/>
          <w:kern w:val="0"/>
          <w:sz w:val="20"/>
          <w:szCs w:val="20"/>
          <w:lang w:eastAsia="lt-LT"/>
          <w14:ligatures w14:val="none"/>
        </w:rPr>
        <w:t>reikšmingus kelių rinkliavos sistemos veikimo pokyčius;  </w:t>
      </w:r>
    </w:p>
    <w:p w:rsidR="008E059E" w:rsidP="008E059E" w:rsidRDefault="000341BA" w14:paraId="62C471D1" w14:textId="77777777">
      <w:pPr>
        <w:pStyle w:val="ListParagraph"/>
        <w:numPr>
          <w:ilvl w:val="2"/>
          <w:numId w:val="8"/>
        </w:numPr>
        <w:spacing w:after="0" w:line="240" w:lineRule="auto"/>
        <w:ind w:left="1560" w:hanging="709"/>
        <w:jc w:val="both"/>
        <w:textAlignment w:val="baseline"/>
        <w:rPr>
          <w:rFonts w:ascii="Arial" w:hAnsi="Arial" w:eastAsia="Times New Roman" w:cs="Arial"/>
          <w:kern w:val="0"/>
          <w:sz w:val="20"/>
          <w:szCs w:val="20"/>
          <w:lang w:eastAsia="lt-LT"/>
          <w14:ligatures w14:val="none"/>
        </w:rPr>
      </w:pPr>
      <w:r w:rsidRPr="008E059E">
        <w:rPr>
          <w:rFonts w:ascii="Arial" w:hAnsi="Arial" w:eastAsia="Times New Roman" w:cs="Arial"/>
          <w:kern w:val="0"/>
          <w:sz w:val="20"/>
          <w:szCs w:val="20"/>
          <w:lang w:eastAsia="lt-LT"/>
          <w14:ligatures w14:val="none"/>
        </w:rPr>
        <w:t>esminius EERP teikėjo arba Rinkliavos rinkėjo prisiimamų funkcijų pokyčius.  </w:t>
      </w:r>
    </w:p>
    <w:p w:rsidRPr="008E059E" w:rsidR="004A510C" w:rsidP="008E059E" w:rsidRDefault="00FA0AB7" w14:paraId="78C5464C" w14:textId="7287E761">
      <w:pPr>
        <w:pStyle w:val="ListParagraph"/>
        <w:numPr>
          <w:ilvl w:val="1"/>
          <w:numId w:val="8"/>
        </w:numPr>
        <w:spacing w:after="0" w:line="240" w:lineRule="auto"/>
        <w:ind w:left="851" w:hanging="851"/>
        <w:jc w:val="both"/>
        <w:textAlignment w:val="baseline"/>
        <w:rPr>
          <w:rFonts w:ascii="Arial" w:hAnsi="Arial" w:eastAsia="Times New Roman" w:cs="Arial"/>
          <w:kern w:val="0"/>
          <w:sz w:val="20"/>
          <w:szCs w:val="20"/>
          <w:lang w:eastAsia="lt-LT"/>
          <w14:ligatures w14:val="none"/>
        </w:rPr>
      </w:pPr>
      <w:r w:rsidRPr="008E059E">
        <w:rPr>
          <w:rFonts w:ascii="Arial" w:hAnsi="Arial" w:cs="Arial"/>
          <w:sz w:val="20"/>
          <w:szCs w:val="20"/>
        </w:rPr>
        <w:t>Šalys a</w:t>
      </w:r>
      <w:r w:rsidRPr="008E059E" w:rsidDel="00507770" w:rsidR="004A510C">
        <w:rPr>
          <w:rFonts w:ascii="Arial" w:hAnsi="Arial" w:cs="Arial"/>
          <w:sz w:val="20"/>
          <w:szCs w:val="20"/>
        </w:rPr>
        <w:t>bipusiu susitarimu</w:t>
      </w:r>
      <w:r w:rsidRPr="008E059E">
        <w:rPr>
          <w:rFonts w:ascii="Arial" w:hAnsi="Arial" w:cs="Arial"/>
          <w:sz w:val="20"/>
          <w:szCs w:val="20"/>
        </w:rPr>
        <w:t xml:space="preserve"> </w:t>
      </w:r>
      <w:r w:rsidRPr="008E059E" w:rsidDel="00507770" w:rsidR="004A510C">
        <w:rPr>
          <w:rFonts w:ascii="Arial" w:hAnsi="Arial" w:cs="Arial"/>
          <w:sz w:val="20"/>
          <w:szCs w:val="20"/>
        </w:rPr>
        <w:t>gali susitarti</w:t>
      </w:r>
      <w:r w:rsidRPr="008E059E" w:rsidR="00816F64">
        <w:rPr>
          <w:rFonts w:ascii="Arial" w:hAnsi="Arial" w:cs="Arial"/>
          <w:sz w:val="20"/>
          <w:szCs w:val="20"/>
        </w:rPr>
        <w:t xml:space="preserve"> ir dėl </w:t>
      </w:r>
      <w:r w:rsidRPr="008E059E" w:rsidR="00B55E0F">
        <w:rPr>
          <w:rFonts w:ascii="Arial" w:hAnsi="Arial" w:cs="Arial"/>
          <w:sz w:val="20"/>
          <w:szCs w:val="20"/>
        </w:rPr>
        <w:t xml:space="preserve">kitokio </w:t>
      </w:r>
      <w:r w:rsidRPr="008E059E" w:rsidR="00700F16">
        <w:rPr>
          <w:rFonts w:ascii="Arial" w:hAnsi="Arial" w:cs="Arial"/>
          <w:sz w:val="20"/>
          <w:szCs w:val="20"/>
        </w:rPr>
        <w:t xml:space="preserve">atlygio peržiūros </w:t>
      </w:r>
      <w:r w:rsidRPr="008E059E" w:rsidR="00D2690D">
        <w:rPr>
          <w:rFonts w:ascii="Arial" w:hAnsi="Arial" w:cs="Arial"/>
          <w:sz w:val="20"/>
          <w:szCs w:val="20"/>
        </w:rPr>
        <w:t>periodiškumo,</w:t>
      </w:r>
      <w:r w:rsidRPr="008E059E" w:rsidDel="00507770" w:rsidR="004A510C">
        <w:rPr>
          <w:rFonts w:ascii="Arial" w:hAnsi="Arial" w:cs="Arial"/>
          <w:sz w:val="20"/>
          <w:szCs w:val="20"/>
        </w:rPr>
        <w:t xml:space="preserve"> jeigu atsiranda aplinkybių, kurių nebuvo galima pagrįstai numatyti atlygio nustatymo metu.</w:t>
      </w:r>
    </w:p>
    <w:p w:rsidRPr="008E059E" w:rsidR="000341BA" w:rsidP="000341BA" w:rsidRDefault="000341BA" w14:paraId="11E1E5B6" w14:textId="77777777">
      <w:pPr>
        <w:pStyle w:val="ListParagraph"/>
        <w:numPr>
          <w:ilvl w:val="1"/>
          <w:numId w:val="8"/>
        </w:numPr>
        <w:spacing w:after="0" w:line="240" w:lineRule="auto"/>
        <w:ind w:left="851" w:hanging="851"/>
        <w:jc w:val="both"/>
        <w:textAlignment w:val="baseline"/>
        <w:rPr>
          <w:rFonts w:ascii="Arial" w:hAnsi="Arial" w:eastAsia="Times New Roman" w:cs="Arial"/>
          <w:kern w:val="0"/>
          <w:sz w:val="20"/>
          <w:szCs w:val="20"/>
          <w:lang w:eastAsia="lt-LT"/>
          <w14:ligatures w14:val="none"/>
        </w:rPr>
      </w:pPr>
      <w:r w:rsidRPr="008E059E">
        <w:rPr>
          <w:rFonts w:ascii="Arial" w:hAnsi="Arial" w:eastAsia="Times New Roman" w:cs="Arial"/>
          <w:kern w:val="0"/>
          <w:sz w:val="20"/>
          <w:szCs w:val="20"/>
          <w:lang w:eastAsia="lt-LT"/>
          <w14:ligatures w14:val="none"/>
        </w:rPr>
        <w:t>Apie atlygio pakeitimą EERP teikėjas informuojamas ne vėliau kaip prieš 3 mėnesius iki pakeitimo įsigaliojimo. </w:t>
      </w:r>
    </w:p>
    <w:p w:rsidRPr="000312C2" w:rsidR="000341BA" w:rsidP="000341BA" w:rsidRDefault="000341BA" w14:paraId="223642A6" w14:textId="77777777">
      <w:pPr>
        <w:spacing w:after="0" w:line="240" w:lineRule="auto"/>
        <w:ind w:firstLine="360"/>
        <w:jc w:val="both"/>
        <w:textAlignment w:val="baseline"/>
        <w:rPr>
          <w:rFonts w:ascii="Arial" w:hAnsi="Arial" w:eastAsia="Times New Roman" w:cs="Arial"/>
          <w:kern w:val="0"/>
          <w:sz w:val="20"/>
          <w:szCs w:val="20"/>
          <w:lang w:eastAsia="lt-LT"/>
          <w14:ligatures w14:val="none"/>
        </w:rPr>
      </w:pPr>
      <w:r w:rsidRPr="000312C2">
        <w:rPr>
          <w:rFonts w:ascii="Arial" w:hAnsi="Arial" w:eastAsia="Times New Roman" w:cs="Arial"/>
          <w:kern w:val="0"/>
          <w:sz w:val="20"/>
          <w:szCs w:val="20"/>
          <w:lang w:eastAsia="lt-LT"/>
          <w14:ligatures w14:val="none"/>
        </w:rPr>
        <w:t> </w:t>
      </w:r>
    </w:p>
    <w:p w:rsidRPr="000312C2" w:rsidR="000341BA" w:rsidP="000341BA" w:rsidRDefault="000341BA" w14:paraId="16A79161" w14:textId="77777777">
      <w:pPr>
        <w:spacing w:after="0" w:line="240" w:lineRule="auto"/>
        <w:jc w:val="both"/>
        <w:textAlignment w:val="baseline"/>
        <w:rPr>
          <w:rFonts w:ascii="Arial" w:hAnsi="Arial" w:eastAsia="Times New Roman" w:cs="Arial"/>
          <w:kern w:val="0"/>
          <w:sz w:val="20"/>
          <w:szCs w:val="20"/>
          <w:lang w:eastAsia="lt-LT"/>
          <w14:ligatures w14:val="none"/>
        </w:rPr>
      </w:pPr>
      <w:r w:rsidRPr="000312C2">
        <w:rPr>
          <w:rFonts w:ascii="Arial" w:hAnsi="Arial" w:eastAsia="Times New Roman" w:cs="Arial"/>
          <w:kern w:val="0"/>
          <w:sz w:val="20"/>
          <w:szCs w:val="20"/>
          <w:lang w:eastAsia="lt-LT"/>
          <w14:ligatures w14:val="none"/>
        </w:rPr>
        <w:t> </w:t>
      </w:r>
    </w:p>
    <w:p w:rsidRPr="000312C2" w:rsidR="000341BA" w:rsidP="00D2690D" w:rsidRDefault="006A240B" w14:paraId="3580FD1F" w14:textId="6A0027D1">
      <w:pPr>
        <w:tabs>
          <w:tab w:val="left" w:pos="2835"/>
        </w:tabs>
        <w:spacing w:after="0" w:line="240" w:lineRule="auto"/>
        <w:rPr>
          <w:rFonts w:ascii="Arial" w:hAnsi="Arial" w:cs="Arial"/>
          <w:sz w:val="20"/>
          <w:szCs w:val="20"/>
        </w:rPr>
      </w:pPr>
      <w:r w:rsidRPr="000312C2">
        <w:rPr>
          <w:rFonts w:ascii="Arial" w:hAnsi="Arial" w:cs="Arial"/>
          <w:sz w:val="20"/>
          <w:szCs w:val="20"/>
        </w:rPr>
        <w:tab/>
      </w:r>
    </w:p>
    <w:p w:rsidRPr="000312C2" w:rsidR="000341BA" w:rsidP="000341BA" w:rsidRDefault="000341BA" w14:paraId="307B61A8" w14:textId="77777777">
      <w:pPr>
        <w:rPr>
          <w:rFonts w:ascii="Arial" w:hAnsi="Arial" w:cs="Arial"/>
          <w:sz w:val="20"/>
          <w:szCs w:val="20"/>
        </w:rPr>
      </w:pPr>
    </w:p>
    <w:p w:rsidRPr="000312C2" w:rsidR="000341BA" w:rsidP="000341BA" w:rsidRDefault="000341BA" w14:paraId="085E4A3E" w14:textId="77777777">
      <w:pPr>
        <w:spacing w:after="0" w:line="240" w:lineRule="auto"/>
        <w:jc w:val="center"/>
        <w:rPr>
          <w:rFonts w:ascii="Arial" w:hAnsi="Arial" w:cs="Arial"/>
          <w:sz w:val="20"/>
          <w:szCs w:val="20"/>
        </w:rPr>
      </w:pPr>
    </w:p>
    <w:p w:rsidRPr="000312C2" w:rsidR="000341BA" w:rsidRDefault="000341BA" w14:paraId="2452E8B1" w14:textId="77777777">
      <w:pPr>
        <w:rPr>
          <w:rFonts w:ascii="Arial" w:hAnsi="Arial" w:cs="Arial"/>
          <w:sz w:val="20"/>
          <w:szCs w:val="20"/>
        </w:rPr>
      </w:pPr>
    </w:p>
    <w:sectPr w:rsidRPr="000312C2" w:rsidR="000341BA" w:rsidSect="000341BA">
      <w:headerReference w:type="default" r:id="rId8"/>
      <w:footerReference w:type="default" r:id="rId9"/>
      <w:headerReference w:type="first" r:id="rId10"/>
      <w:footerReference w:type="first" r:id="rId11"/>
      <w:pgSz w:w="11906" w:h="16838" w:orient="portrait"/>
      <w:pgMar w:top="1701"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0A43" w:rsidRDefault="00230A43" w14:paraId="4C7C4410" w14:textId="77777777">
      <w:pPr>
        <w:spacing w:after="0" w:line="240" w:lineRule="auto"/>
      </w:pPr>
      <w:r>
        <w:separator/>
      </w:r>
    </w:p>
  </w:endnote>
  <w:endnote w:type="continuationSeparator" w:id="0">
    <w:p w:rsidR="00230A43" w:rsidRDefault="00230A43" w14:paraId="3BD4B39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65"/>
      <w:gridCol w:w="3165"/>
      <w:gridCol w:w="3165"/>
    </w:tblGrid>
    <w:tr w:rsidR="00FA8D76" w:rsidTr="00FA8D76" w14:paraId="10FFE9BB" w14:textId="77777777">
      <w:trPr>
        <w:trHeight w:val="300"/>
      </w:trPr>
      <w:tc>
        <w:tcPr>
          <w:tcW w:w="3165" w:type="dxa"/>
        </w:tcPr>
        <w:p w:rsidR="00FA8D76" w:rsidP="00FA8D76" w:rsidRDefault="00FA8D76" w14:paraId="5F90E156" w14:textId="10231C7B">
          <w:pPr>
            <w:pStyle w:val="Header"/>
            <w:ind w:left="-115"/>
          </w:pPr>
        </w:p>
      </w:tc>
      <w:tc>
        <w:tcPr>
          <w:tcW w:w="3165" w:type="dxa"/>
        </w:tcPr>
        <w:p w:rsidR="00FA8D76" w:rsidP="00FA8D76" w:rsidRDefault="00FA8D76" w14:paraId="4F151603" w14:textId="5290303E">
          <w:pPr>
            <w:pStyle w:val="Header"/>
            <w:jc w:val="center"/>
          </w:pPr>
        </w:p>
      </w:tc>
      <w:tc>
        <w:tcPr>
          <w:tcW w:w="3165" w:type="dxa"/>
        </w:tcPr>
        <w:p w:rsidR="00FA8D76" w:rsidP="00FA8D76" w:rsidRDefault="00FA8D76" w14:paraId="67B65D52" w14:textId="53B2B945">
          <w:pPr>
            <w:pStyle w:val="Header"/>
            <w:ind w:right="-115"/>
            <w:jc w:val="right"/>
          </w:pPr>
        </w:p>
      </w:tc>
    </w:tr>
  </w:tbl>
  <w:p w:rsidR="00FA8D76" w:rsidP="00FA8D76" w:rsidRDefault="00FA8D76" w14:paraId="33ECB0B3" w14:textId="772341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65"/>
      <w:gridCol w:w="3165"/>
      <w:gridCol w:w="3165"/>
    </w:tblGrid>
    <w:tr w:rsidR="00FA8D76" w:rsidTr="00FA8D76" w14:paraId="6972D350" w14:textId="77777777">
      <w:trPr>
        <w:trHeight w:val="300"/>
      </w:trPr>
      <w:tc>
        <w:tcPr>
          <w:tcW w:w="3165" w:type="dxa"/>
        </w:tcPr>
        <w:p w:rsidR="00FA8D76" w:rsidP="00FA8D76" w:rsidRDefault="00FA8D76" w14:paraId="55E3AA3E" w14:textId="1352AC4A">
          <w:pPr>
            <w:pStyle w:val="Header"/>
            <w:ind w:left="-115"/>
          </w:pPr>
        </w:p>
      </w:tc>
      <w:tc>
        <w:tcPr>
          <w:tcW w:w="3165" w:type="dxa"/>
        </w:tcPr>
        <w:p w:rsidR="00FA8D76" w:rsidP="00FA8D76" w:rsidRDefault="00FA8D76" w14:paraId="517627E2" w14:textId="45D0913D">
          <w:pPr>
            <w:pStyle w:val="Header"/>
            <w:jc w:val="center"/>
          </w:pPr>
        </w:p>
      </w:tc>
      <w:tc>
        <w:tcPr>
          <w:tcW w:w="3165" w:type="dxa"/>
        </w:tcPr>
        <w:p w:rsidR="00FA8D76" w:rsidP="00FA8D76" w:rsidRDefault="00FA8D76" w14:paraId="6108BB8B" w14:textId="4A380483">
          <w:pPr>
            <w:pStyle w:val="Header"/>
            <w:ind w:right="-115"/>
            <w:jc w:val="right"/>
          </w:pPr>
        </w:p>
      </w:tc>
    </w:tr>
  </w:tbl>
  <w:p w:rsidR="00FA8D76" w:rsidP="00FA8D76" w:rsidRDefault="00FA8D76" w14:paraId="24EF024E" w14:textId="0C138C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0A43" w:rsidRDefault="00230A43" w14:paraId="4FEB2D91" w14:textId="77777777">
      <w:pPr>
        <w:spacing w:after="0" w:line="240" w:lineRule="auto"/>
      </w:pPr>
      <w:r>
        <w:separator/>
      </w:r>
    </w:p>
  </w:footnote>
  <w:footnote w:type="continuationSeparator" w:id="0">
    <w:p w:rsidR="00230A43" w:rsidRDefault="00230A43" w14:paraId="0CAFC54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187134"/>
      <w:docPartObj>
        <w:docPartGallery w:val="Page Numbers (Top of Page)"/>
        <w:docPartUnique/>
      </w:docPartObj>
    </w:sdtPr>
    <w:sdtEndPr>
      <w:rPr>
        <w:sz w:val="20"/>
        <w:szCs w:val="20"/>
      </w:rPr>
    </w:sdtEndPr>
    <w:sdtContent>
      <w:p w:rsidRPr="00430C8B" w:rsidR="000341BA" w:rsidRDefault="000341BA" w14:paraId="01839084" w14:textId="77777777">
        <w:pPr>
          <w:pStyle w:val="Header"/>
          <w:jc w:val="center"/>
          <w:rPr>
            <w:sz w:val="20"/>
            <w:szCs w:val="20"/>
          </w:rPr>
        </w:pPr>
        <w:r w:rsidRPr="00430C8B">
          <w:rPr>
            <w:sz w:val="20"/>
            <w:szCs w:val="20"/>
          </w:rPr>
          <w:fldChar w:fldCharType="begin"/>
        </w:r>
        <w:r w:rsidRPr="00430C8B">
          <w:rPr>
            <w:sz w:val="20"/>
            <w:szCs w:val="20"/>
          </w:rPr>
          <w:instrText>PAGE   \* MERGEFORMAT</w:instrText>
        </w:r>
        <w:r w:rsidRPr="00430C8B">
          <w:rPr>
            <w:sz w:val="20"/>
            <w:szCs w:val="20"/>
          </w:rPr>
          <w:fldChar w:fldCharType="separate"/>
        </w:r>
        <w:r w:rsidRPr="00430C8B">
          <w:rPr>
            <w:sz w:val="20"/>
            <w:szCs w:val="20"/>
          </w:rPr>
          <w:t>2</w:t>
        </w:r>
        <w:r w:rsidRPr="00430C8B">
          <w:rPr>
            <w:sz w:val="20"/>
            <w:szCs w:val="20"/>
          </w:rPr>
          <w:fldChar w:fldCharType="end"/>
        </w:r>
      </w:p>
    </w:sdtContent>
  </w:sdt>
  <w:p w:rsidR="000341BA" w:rsidRDefault="000341BA" w14:paraId="2F4BC25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A8D76" w:rsidP="06ED02BF" w:rsidRDefault="00FA8D76" w14:paraId="53D74656" w14:textId="3FF4F9F9">
    <w:pPr>
      <w:pStyle w:val="Normal"/>
      <w:tabs>
        <w:tab w:val="center" w:leader="none" w:pos="4986"/>
        <w:tab w:val="right" w:leader="none" w:pos="9972"/>
      </w:tabs>
      <w:spacing w:after="0" w:line="240" w:lineRule="auto"/>
      <w:ind w:firstLine="0"/>
      <w:jc w:val="right"/>
      <w:rPr>
        <w:rFonts w:ascii="Arial" w:hAnsi="Arial" w:cs="Arial"/>
        <w:sz w:val="20"/>
        <w:szCs w:val="20"/>
      </w:rPr>
    </w:pPr>
    <w:r w:rsidR="7D47AB9F">
      <w:drawing>
        <wp:anchor distT="0" distB="0" distL="114300" distR="114300" simplePos="0" relativeHeight="251658240" behindDoc="0" locked="0" layoutInCell="1" allowOverlap="1" wp14:editId="478FCCEF" wp14:anchorId="729BAAD2">
          <wp:simplePos x="0" y="0"/>
          <wp:positionH relativeFrom="column">
            <wp:align>left</wp:align>
          </wp:positionH>
          <wp:positionV relativeFrom="paragraph">
            <wp:posOffset>0</wp:posOffset>
          </wp:positionV>
          <wp:extent cx="1609725" cy="200025"/>
          <wp:effectExtent l="0" t="0" r="0" b="0"/>
          <wp:wrapSquare wrapText="bothSides"/>
          <wp:docPr id="1436415747" name="drawing" title="Via Lietuva Logo - Skaidrus Juodas.p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36415747" name="Picture 1436415747"/>
                  <pic:cNvPicPr/>
                </pic:nvPicPr>
                <pic:blipFill>
                  <a:blip xmlns:r="http://schemas.openxmlformats.org/officeDocument/2006/relationships" r:embed="rId1484643303">
                    <a:extLst>
                      <a:ext uri="{28A0092B-C50C-407E-A947-70E740481C1C}">
                        <a14:useLocalDpi xmlns:a14="http://schemas.microsoft.com/office/drawing/2010/main"/>
                      </a:ext>
                    </a:extLst>
                  </a:blip>
                  <a:stretch>
                    <a:fillRect/>
                  </a:stretch>
                </pic:blipFill>
                <pic:spPr>
                  <a:xfrm>
                    <a:off x="0" y="0"/>
                    <a:ext cx="1609725" cy="200025"/>
                  </a:xfrm>
                  <a:prstGeom prst="rect">
                    <a:avLst/>
                  </a:prstGeom>
                </pic:spPr>
              </pic:pic>
            </a:graphicData>
          </a:graphic>
          <wp14:sizeRelH relativeFrom="page">
            <wp14:pctWidth>0</wp14:pctWidth>
          </wp14:sizeRelH>
          <wp14:sizeRelV relativeFrom="page">
            <wp14:pctHeight>0</wp14:pctHeight>
          </wp14:sizeRelV>
        </wp:anchor>
      </w:drawing>
    </w:r>
    <w:r w:rsidRPr="7D47AB9F" w:rsidR="7D47AB9F">
      <w:rPr>
        <w:rFonts w:ascii="Arial" w:hAnsi="Arial" w:cs="Arial"/>
        <w:sz w:val="20"/>
        <w:szCs w:val="20"/>
      </w:rPr>
      <w:t xml:space="preserve">Lietuvos Respublikos EERP teritorijos dokumentas </w:t>
    </w:r>
  </w:p>
  <w:p w:rsidR="00FA8D76" w:rsidP="7D47AB9F" w:rsidRDefault="00FA8D76" w14:paraId="1DC6E775" w14:textId="3ED4099B">
    <w:pPr>
      <w:pStyle w:val="Normal"/>
      <w:suppressLineNumbers w:val="0"/>
      <w:spacing w:before="0" w:beforeAutospacing="off" w:after="0" w:afterAutospacing="off" w:line="240" w:lineRule="auto"/>
      <w:ind w:left="0" w:right="0"/>
      <w:jc w:val="right"/>
      <w:rPr>
        <w:rFonts w:ascii="Arial" w:hAnsi="Arial" w:cs="Arial"/>
        <w:sz w:val="20"/>
        <w:szCs w:val="20"/>
      </w:rPr>
    </w:pPr>
    <w:r w:rsidRPr="3864C823" w:rsidR="3864C823">
      <w:rPr>
        <w:rFonts w:ascii="Arial" w:hAnsi="Arial" w:cs="Arial"/>
        <w:sz w:val="20"/>
        <w:szCs w:val="20"/>
      </w:rPr>
      <w:t>Priedas Nr.</w:t>
    </w:r>
    <w:r w:rsidRPr="3864C823" w:rsidR="3864C823">
      <w:rPr>
        <w:rFonts w:ascii="Arial" w:hAnsi="Arial" w:cs="Arial"/>
        <w:sz w:val="20"/>
        <w:szCs w:val="20"/>
      </w:rPr>
      <w:t xml:space="preserve"> </w:t>
    </w:r>
    <w:r w:rsidRPr="3864C823" w:rsidR="3864C823">
      <w:rPr>
        <w:rFonts w:ascii="Arial" w:hAnsi="Arial" w:cs="Arial"/>
        <w:sz w:val="20"/>
        <w:szCs w:val="20"/>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7372"/>
    <w:multiLevelType w:val="multilevel"/>
    <w:tmpl w:val="6E6483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6D6ECC"/>
    <w:multiLevelType w:val="multilevel"/>
    <w:tmpl w:val="8D30E53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5AA35EA"/>
    <w:multiLevelType w:val="multilevel"/>
    <w:tmpl w:val="14880E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427E27"/>
    <w:multiLevelType w:val="multilevel"/>
    <w:tmpl w:val="C012F86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ED07217"/>
    <w:multiLevelType w:val="multilevel"/>
    <w:tmpl w:val="6080ACA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7BE1735"/>
    <w:multiLevelType w:val="multilevel"/>
    <w:tmpl w:val="4FE696FC"/>
    <w:lvl w:ilvl="0">
      <w:start w:val="1"/>
      <w:numFmt w:val="decimal"/>
      <w:lvlText w:val="%1."/>
      <w:lvlJc w:val="left"/>
      <w:pPr>
        <w:ind w:left="360" w:hanging="360"/>
      </w:pPr>
      <w:rPr>
        <w:rFonts w:hint="default" w:ascii="Times New Roman" w:hAnsi="Times New Roman" w:cs="Times New Roman"/>
        <w:sz w:val="24"/>
      </w:rPr>
    </w:lvl>
    <w:lvl w:ilvl="1">
      <w:start w:val="1"/>
      <w:numFmt w:val="decimal"/>
      <w:lvlText w:val="%1.%2."/>
      <w:lvlJc w:val="left"/>
      <w:pPr>
        <w:ind w:left="1440" w:hanging="360"/>
      </w:pPr>
      <w:rPr>
        <w:rFonts w:hint="default" w:ascii="Arial" w:hAnsi="Arial" w:cs="Arial"/>
        <w:sz w:val="20"/>
        <w:szCs w:val="20"/>
      </w:rPr>
    </w:lvl>
    <w:lvl w:ilvl="2">
      <w:start w:val="1"/>
      <w:numFmt w:val="decimal"/>
      <w:lvlText w:val="%1.%2.%3."/>
      <w:lvlJc w:val="left"/>
      <w:pPr>
        <w:ind w:left="2880" w:hanging="720"/>
      </w:pPr>
      <w:rPr>
        <w:rFonts w:hint="default" w:ascii="Times New Roman" w:hAnsi="Times New Roman" w:cs="Times New Roman"/>
        <w:sz w:val="24"/>
      </w:rPr>
    </w:lvl>
    <w:lvl w:ilvl="3">
      <w:start w:val="1"/>
      <w:numFmt w:val="decimal"/>
      <w:lvlText w:val="%1.%2.%3.%4."/>
      <w:lvlJc w:val="left"/>
      <w:pPr>
        <w:ind w:left="3960" w:hanging="720"/>
      </w:pPr>
      <w:rPr>
        <w:rFonts w:hint="default" w:ascii="Times New Roman" w:hAnsi="Times New Roman" w:cs="Times New Roman"/>
        <w:sz w:val="24"/>
      </w:rPr>
    </w:lvl>
    <w:lvl w:ilvl="4">
      <w:start w:val="1"/>
      <w:numFmt w:val="decimal"/>
      <w:lvlText w:val="%1.%2.%3.%4.%5."/>
      <w:lvlJc w:val="left"/>
      <w:pPr>
        <w:ind w:left="5400" w:hanging="1080"/>
      </w:pPr>
      <w:rPr>
        <w:rFonts w:hint="default" w:ascii="Times New Roman" w:hAnsi="Times New Roman" w:cs="Times New Roman"/>
        <w:sz w:val="24"/>
      </w:rPr>
    </w:lvl>
    <w:lvl w:ilvl="5">
      <w:start w:val="1"/>
      <w:numFmt w:val="decimal"/>
      <w:lvlText w:val="%1.%2.%3.%4.%5.%6."/>
      <w:lvlJc w:val="left"/>
      <w:pPr>
        <w:ind w:left="6480" w:hanging="1080"/>
      </w:pPr>
      <w:rPr>
        <w:rFonts w:hint="default" w:ascii="Times New Roman" w:hAnsi="Times New Roman" w:cs="Times New Roman"/>
        <w:sz w:val="24"/>
      </w:rPr>
    </w:lvl>
    <w:lvl w:ilvl="6">
      <w:start w:val="1"/>
      <w:numFmt w:val="decimal"/>
      <w:lvlText w:val="%1.%2.%3.%4.%5.%6.%7."/>
      <w:lvlJc w:val="left"/>
      <w:pPr>
        <w:ind w:left="7920" w:hanging="1440"/>
      </w:pPr>
      <w:rPr>
        <w:rFonts w:hint="default" w:ascii="Times New Roman" w:hAnsi="Times New Roman" w:cs="Times New Roman"/>
        <w:sz w:val="24"/>
      </w:rPr>
    </w:lvl>
    <w:lvl w:ilvl="7">
      <w:start w:val="1"/>
      <w:numFmt w:val="decimal"/>
      <w:lvlText w:val="%1.%2.%3.%4.%5.%6.%7.%8."/>
      <w:lvlJc w:val="left"/>
      <w:pPr>
        <w:ind w:left="9000" w:hanging="1440"/>
      </w:pPr>
      <w:rPr>
        <w:rFonts w:hint="default" w:ascii="Times New Roman" w:hAnsi="Times New Roman" w:cs="Times New Roman"/>
        <w:sz w:val="24"/>
      </w:rPr>
    </w:lvl>
    <w:lvl w:ilvl="8">
      <w:start w:val="1"/>
      <w:numFmt w:val="decimal"/>
      <w:lvlText w:val="%1.%2.%3.%4.%5.%6.%7.%8.%9."/>
      <w:lvlJc w:val="left"/>
      <w:pPr>
        <w:ind w:left="10440" w:hanging="1800"/>
      </w:pPr>
      <w:rPr>
        <w:rFonts w:hint="default" w:ascii="Times New Roman" w:hAnsi="Times New Roman" w:cs="Times New Roman"/>
        <w:sz w:val="24"/>
      </w:rPr>
    </w:lvl>
  </w:abstractNum>
  <w:abstractNum w:abstractNumId="6" w15:restartNumberingAfterBreak="0">
    <w:nsid w:val="49B86EAA"/>
    <w:multiLevelType w:val="multilevel"/>
    <w:tmpl w:val="9B72FC2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0A7B44"/>
    <w:multiLevelType w:val="multilevel"/>
    <w:tmpl w:val="650257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903ACE"/>
    <w:multiLevelType w:val="multilevel"/>
    <w:tmpl w:val="5944F210"/>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D3332A"/>
    <w:multiLevelType w:val="multilevel"/>
    <w:tmpl w:val="1C1470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69251088"/>
    <w:multiLevelType w:val="multilevel"/>
    <w:tmpl w:val="D728C0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74A22F08"/>
    <w:multiLevelType w:val="multilevel"/>
    <w:tmpl w:val="EE446B8C"/>
    <w:lvl w:ilvl="0">
      <w:start w:val="6"/>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num w:numId="1" w16cid:durableId="1216702205">
    <w:abstractNumId w:val="8"/>
  </w:num>
  <w:num w:numId="2" w16cid:durableId="991563201">
    <w:abstractNumId w:val="6"/>
  </w:num>
  <w:num w:numId="3" w16cid:durableId="802236482">
    <w:abstractNumId w:val="5"/>
  </w:num>
  <w:num w:numId="4" w16cid:durableId="1687561718">
    <w:abstractNumId w:val="4"/>
  </w:num>
  <w:num w:numId="5" w16cid:durableId="1760903598">
    <w:abstractNumId w:val="2"/>
  </w:num>
  <w:num w:numId="6" w16cid:durableId="726880463">
    <w:abstractNumId w:val="1"/>
  </w:num>
  <w:num w:numId="7" w16cid:durableId="569123402">
    <w:abstractNumId w:val="11"/>
  </w:num>
  <w:num w:numId="8" w16cid:durableId="2058698472">
    <w:abstractNumId w:val="3"/>
  </w:num>
  <w:num w:numId="9" w16cid:durableId="1144464625">
    <w:abstractNumId w:val="0"/>
  </w:num>
  <w:num w:numId="10" w16cid:durableId="549803234">
    <w:abstractNumId w:val="9"/>
  </w:num>
  <w:num w:numId="11" w16cid:durableId="1718972361">
    <w:abstractNumId w:val="10"/>
  </w:num>
  <w:num w:numId="12" w16cid:durableId="19470314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val="false"/>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1BA"/>
    <w:rsid w:val="00001943"/>
    <w:rsid w:val="000032BD"/>
    <w:rsid w:val="00003D13"/>
    <w:rsid w:val="000048EB"/>
    <w:rsid w:val="00006882"/>
    <w:rsid w:val="0001173D"/>
    <w:rsid w:val="00017E29"/>
    <w:rsid w:val="00023429"/>
    <w:rsid w:val="000234B3"/>
    <w:rsid w:val="00026EBA"/>
    <w:rsid w:val="000312C2"/>
    <w:rsid w:val="0003250C"/>
    <w:rsid w:val="00034059"/>
    <w:rsid w:val="000341BA"/>
    <w:rsid w:val="0004617C"/>
    <w:rsid w:val="00046B12"/>
    <w:rsid w:val="000531D9"/>
    <w:rsid w:val="00055102"/>
    <w:rsid w:val="00066C17"/>
    <w:rsid w:val="00074481"/>
    <w:rsid w:val="00084C63"/>
    <w:rsid w:val="00086C2E"/>
    <w:rsid w:val="0008790D"/>
    <w:rsid w:val="00090604"/>
    <w:rsid w:val="00091CB3"/>
    <w:rsid w:val="00096928"/>
    <w:rsid w:val="000A5812"/>
    <w:rsid w:val="000B0890"/>
    <w:rsid w:val="000B14AD"/>
    <w:rsid w:val="000B3229"/>
    <w:rsid w:val="000B789B"/>
    <w:rsid w:val="000C60BA"/>
    <w:rsid w:val="000D046D"/>
    <w:rsid w:val="000D5638"/>
    <w:rsid w:val="000D78F3"/>
    <w:rsid w:val="000E0F0B"/>
    <w:rsid w:val="000E2AC6"/>
    <w:rsid w:val="000E5731"/>
    <w:rsid w:val="000F0C36"/>
    <w:rsid w:val="000F7489"/>
    <w:rsid w:val="0011153E"/>
    <w:rsid w:val="00112794"/>
    <w:rsid w:val="0011279E"/>
    <w:rsid w:val="001172A6"/>
    <w:rsid w:val="00121FFF"/>
    <w:rsid w:val="0012213E"/>
    <w:rsid w:val="00126556"/>
    <w:rsid w:val="00127F71"/>
    <w:rsid w:val="00132DDE"/>
    <w:rsid w:val="00142807"/>
    <w:rsid w:val="00144580"/>
    <w:rsid w:val="001473E7"/>
    <w:rsid w:val="00163DB0"/>
    <w:rsid w:val="00165D69"/>
    <w:rsid w:val="00166369"/>
    <w:rsid w:val="00170A67"/>
    <w:rsid w:val="00184573"/>
    <w:rsid w:val="00191DDE"/>
    <w:rsid w:val="00195420"/>
    <w:rsid w:val="00195B77"/>
    <w:rsid w:val="00195C83"/>
    <w:rsid w:val="001A006E"/>
    <w:rsid w:val="001A2D7F"/>
    <w:rsid w:val="001C4220"/>
    <w:rsid w:val="001C7961"/>
    <w:rsid w:val="001D159E"/>
    <w:rsid w:val="001D2BFC"/>
    <w:rsid w:val="001D3752"/>
    <w:rsid w:val="001E3D3C"/>
    <w:rsid w:val="001E61A9"/>
    <w:rsid w:val="001E7F4A"/>
    <w:rsid w:val="001F2247"/>
    <w:rsid w:val="001F4736"/>
    <w:rsid w:val="00201829"/>
    <w:rsid w:val="00202FDC"/>
    <w:rsid w:val="002069DB"/>
    <w:rsid w:val="002144D0"/>
    <w:rsid w:val="00215444"/>
    <w:rsid w:val="00221914"/>
    <w:rsid w:val="00223A48"/>
    <w:rsid w:val="00224C54"/>
    <w:rsid w:val="00230A43"/>
    <w:rsid w:val="002416B9"/>
    <w:rsid w:val="00267191"/>
    <w:rsid w:val="00270599"/>
    <w:rsid w:val="00270E92"/>
    <w:rsid w:val="00275CAE"/>
    <w:rsid w:val="00280052"/>
    <w:rsid w:val="0029091F"/>
    <w:rsid w:val="002914B2"/>
    <w:rsid w:val="002C576C"/>
    <w:rsid w:val="002D2233"/>
    <w:rsid w:val="002D27C8"/>
    <w:rsid w:val="002D3ED3"/>
    <w:rsid w:val="002D4256"/>
    <w:rsid w:val="002E4103"/>
    <w:rsid w:val="002F3692"/>
    <w:rsid w:val="003141BB"/>
    <w:rsid w:val="00321B3C"/>
    <w:rsid w:val="00326E1E"/>
    <w:rsid w:val="003439DD"/>
    <w:rsid w:val="003520CF"/>
    <w:rsid w:val="00357CDF"/>
    <w:rsid w:val="003602C0"/>
    <w:rsid w:val="00366A03"/>
    <w:rsid w:val="00385438"/>
    <w:rsid w:val="00385F8C"/>
    <w:rsid w:val="00391A29"/>
    <w:rsid w:val="00394D19"/>
    <w:rsid w:val="003A5CD6"/>
    <w:rsid w:val="003B195B"/>
    <w:rsid w:val="003B368F"/>
    <w:rsid w:val="003B7366"/>
    <w:rsid w:val="003B7E46"/>
    <w:rsid w:val="003C29D1"/>
    <w:rsid w:val="003C2FE3"/>
    <w:rsid w:val="003E0BF6"/>
    <w:rsid w:val="003F19E1"/>
    <w:rsid w:val="00407D8B"/>
    <w:rsid w:val="00414065"/>
    <w:rsid w:val="004150F6"/>
    <w:rsid w:val="00421551"/>
    <w:rsid w:val="004244FB"/>
    <w:rsid w:val="0043032C"/>
    <w:rsid w:val="00430B62"/>
    <w:rsid w:val="00433740"/>
    <w:rsid w:val="0044352E"/>
    <w:rsid w:val="00451C05"/>
    <w:rsid w:val="00452649"/>
    <w:rsid w:val="00453276"/>
    <w:rsid w:val="004563A2"/>
    <w:rsid w:val="004648AA"/>
    <w:rsid w:val="004656B8"/>
    <w:rsid w:val="00491F65"/>
    <w:rsid w:val="004A4AA8"/>
    <w:rsid w:val="004A510C"/>
    <w:rsid w:val="004B16E3"/>
    <w:rsid w:val="004B73CA"/>
    <w:rsid w:val="004C030D"/>
    <w:rsid w:val="004C2A71"/>
    <w:rsid w:val="004D43F1"/>
    <w:rsid w:val="004E378E"/>
    <w:rsid w:val="004F16D9"/>
    <w:rsid w:val="004F3181"/>
    <w:rsid w:val="004F61F7"/>
    <w:rsid w:val="00500210"/>
    <w:rsid w:val="00504DCC"/>
    <w:rsid w:val="005061EF"/>
    <w:rsid w:val="00507770"/>
    <w:rsid w:val="00512F5F"/>
    <w:rsid w:val="00524885"/>
    <w:rsid w:val="00525BCB"/>
    <w:rsid w:val="005354F5"/>
    <w:rsid w:val="005436B0"/>
    <w:rsid w:val="005453D9"/>
    <w:rsid w:val="00546965"/>
    <w:rsid w:val="00553117"/>
    <w:rsid w:val="00566079"/>
    <w:rsid w:val="00566973"/>
    <w:rsid w:val="0057529C"/>
    <w:rsid w:val="00575AB4"/>
    <w:rsid w:val="0059468A"/>
    <w:rsid w:val="00594FDF"/>
    <w:rsid w:val="0059518D"/>
    <w:rsid w:val="005B412B"/>
    <w:rsid w:val="005D45ED"/>
    <w:rsid w:val="005E2616"/>
    <w:rsid w:val="006124A9"/>
    <w:rsid w:val="006154D0"/>
    <w:rsid w:val="00615C16"/>
    <w:rsid w:val="006166B7"/>
    <w:rsid w:val="00633183"/>
    <w:rsid w:val="006356A0"/>
    <w:rsid w:val="006418EB"/>
    <w:rsid w:val="00642749"/>
    <w:rsid w:val="00646211"/>
    <w:rsid w:val="0064658E"/>
    <w:rsid w:val="00647386"/>
    <w:rsid w:val="006534A3"/>
    <w:rsid w:val="006541E4"/>
    <w:rsid w:val="00662241"/>
    <w:rsid w:val="00663487"/>
    <w:rsid w:val="00665AAB"/>
    <w:rsid w:val="006716D6"/>
    <w:rsid w:val="00671E9F"/>
    <w:rsid w:val="00675B48"/>
    <w:rsid w:val="0068435C"/>
    <w:rsid w:val="00693B91"/>
    <w:rsid w:val="006A240B"/>
    <w:rsid w:val="006A5A03"/>
    <w:rsid w:val="006B2590"/>
    <w:rsid w:val="006B47A9"/>
    <w:rsid w:val="006B65C0"/>
    <w:rsid w:val="006B7F85"/>
    <w:rsid w:val="006C1A0B"/>
    <w:rsid w:val="006C4CD3"/>
    <w:rsid w:val="006D496D"/>
    <w:rsid w:val="006D7944"/>
    <w:rsid w:val="006E04D0"/>
    <w:rsid w:val="006E064E"/>
    <w:rsid w:val="006F2D0A"/>
    <w:rsid w:val="006F5E32"/>
    <w:rsid w:val="00700E85"/>
    <w:rsid w:val="00700F16"/>
    <w:rsid w:val="00702994"/>
    <w:rsid w:val="00712BC6"/>
    <w:rsid w:val="00717EDA"/>
    <w:rsid w:val="0072082E"/>
    <w:rsid w:val="00722C29"/>
    <w:rsid w:val="007240E0"/>
    <w:rsid w:val="007258F5"/>
    <w:rsid w:val="00737282"/>
    <w:rsid w:val="0074748E"/>
    <w:rsid w:val="007511E2"/>
    <w:rsid w:val="00756366"/>
    <w:rsid w:val="00761EDB"/>
    <w:rsid w:val="00776BBB"/>
    <w:rsid w:val="00780E6F"/>
    <w:rsid w:val="00782259"/>
    <w:rsid w:val="007845F4"/>
    <w:rsid w:val="007854B8"/>
    <w:rsid w:val="007863B7"/>
    <w:rsid w:val="0079597D"/>
    <w:rsid w:val="007B4569"/>
    <w:rsid w:val="007C6090"/>
    <w:rsid w:val="007D74DE"/>
    <w:rsid w:val="007E2C39"/>
    <w:rsid w:val="007E2EA1"/>
    <w:rsid w:val="007F5A4B"/>
    <w:rsid w:val="007F78F9"/>
    <w:rsid w:val="0080138E"/>
    <w:rsid w:val="0080298B"/>
    <w:rsid w:val="008030AB"/>
    <w:rsid w:val="008037D3"/>
    <w:rsid w:val="00811170"/>
    <w:rsid w:val="008138D8"/>
    <w:rsid w:val="00815DE9"/>
    <w:rsid w:val="00816F64"/>
    <w:rsid w:val="00821D7F"/>
    <w:rsid w:val="00825917"/>
    <w:rsid w:val="00831AED"/>
    <w:rsid w:val="00843A1C"/>
    <w:rsid w:val="00846351"/>
    <w:rsid w:val="0085115F"/>
    <w:rsid w:val="00863710"/>
    <w:rsid w:val="00877CBA"/>
    <w:rsid w:val="008825A3"/>
    <w:rsid w:val="00885F2D"/>
    <w:rsid w:val="00891919"/>
    <w:rsid w:val="00893983"/>
    <w:rsid w:val="008948E5"/>
    <w:rsid w:val="008962F5"/>
    <w:rsid w:val="008B212E"/>
    <w:rsid w:val="008E0222"/>
    <w:rsid w:val="008E059E"/>
    <w:rsid w:val="008E16FB"/>
    <w:rsid w:val="008E21D1"/>
    <w:rsid w:val="008E61C1"/>
    <w:rsid w:val="008F538D"/>
    <w:rsid w:val="008F6DB6"/>
    <w:rsid w:val="009012B3"/>
    <w:rsid w:val="00923EAA"/>
    <w:rsid w:val="00932509"/>
    <w:rsid w:val="00941F8A"/>
    <w:rsid w:val="00943C97"/>
    <w:rsid w:val="00945BF1"/>
    <w:rsid w:val="00945FB9"/>
    <w:rsid w:val="009467C0"/>
    <w:rsid w:val="00950C3B"/>
    <w:rsid w:val="009536BC"/>
    <w:rsid w:val="00971F96"/>
    <w:rsid w:val="00982725"/>
    <w:rsid w:val="0098786D"/>
    <w:rsid w:val="009955A7"/>
    <w:rsid w:val="009960DA"/>
    <w:rsid w:val="009B0B09"/>
    <w:rsid w:val="009B22F2"/>
    <w:rsid w:val="009C63FE"/>
    <w:rsid w:val="009C6D44"/>
    <w:rsid w:val="009C7DF1"/>
    <w:rsid w:val="009D1220"/>
    <w:rsid w:val="009F13FA"/>
    <w:rsid w:val="009F29B9"/>
    <w:rsid w:val="009F3E1B"/>
    <w:rsid w:val="009F572D"/>
    <w:rsid w:val="00A02704"/>
    <w:rsid w:val="00A02F70"/>
    <w:rsid w:val="00A0320B"/>
    <w:rsid w:val="00A116A0"/>
    <w:rsid w:val="00A1652B"/>
    <w:rsid w:val="00A25107"/>
    <w:rsid w:val="00A30EAF"/>
    <w:rsid w:val="00A332DC"/>
    <w:rsid w:val="00A4494D"/>
    <w:rsid w:val="00A46E4E"/>
    <w:rsid w:val="00A5520A"/>
    <w:rsid w:val="00A65DEE"/>
    <w:rsid w:val="00A6608D"/>
    <w:rsid w:val="00A74CCC"/>
    <w:rsid w:val="00A75F9D"/>
    <w:rsid w:val="00A8363A"/>
    <w:rsid w:val="00A937D2"/>
    <w:rsid w:val="00A93FEC"/>
    <w:rsid w:val="00AB09F0"/>
    <w:rsid w:val="00AB7BAC"/>
    <w:rsid w:val="00AD76B3"/>
    <w:rsid w:val="00AE31BA"/>
    <w:rsid w:val="00AE3229"/>
    <w:rsid w:val="00B00046"/>
    <w:rsid w:val="00B0333D"/>
    <w:rsid w:val="00B049FD"/>
    <w:rsid w:val="00B064C8"/>
    <w:rsid w:val="00B115DA"/>
    <w:rsid w:val="00B14665"/>
    <w:rsid w:val="00B166FC"/>
    <w:rsid w:val="00B207F5"/>
    <w:rsid w:val="00B225EA"/>
    <w:rsid w:val="00B26051"/>
    <w:rsid w:val="00B30686"/>
    <w:rsid w:val="00B31E72"/>
    <w:rsid w:val="00B34475"/>
    <w:rsid w:val="00B40752"/>
    <w:rsid w:val="00B47720"/>
    <w:rsid w:val="00B50C9F"/>
    <w:rsid w:val="00B55E0F"/>
    <w:rsid w:val="00B57733"/>
    <w:rsid w:val="00B62E88"/>
    <w:rsid w:val="00B66BB6"/>
    <w:rsid w:val="00B74F40"/>
    <w:rsid w:val="00B7657F"/>
    <w:rsid w:val="00B81394"/>
    <w:rsid w:val="00B82376"/>
    <w:rsid w:val="00B87929"/>
    <w:rsid w:val="00B920E4"/>
    <w:rsid w:val="00B94B0B"/>
    <w:rsid w:val="00BC3210"/>
    <w:rsid w:val="00BC56A7"/>
    <w:rsid w:val="00BC7EDF"/>
    <w:rsid w:val="00BD1899"/>
    <w:rsid w:val="00BD424F"/>
    <w:rsid w:val="00BD5382"/>
    <w:rsid w:val="00BE3F38"/>
    <w:rsid w:val="00BF60D6"/>
    <w:rsid w:val="00C022E9"/>
    <w:rsid w:val="00C061C2"/>
    <w:rsid w:val="00C069F9"/>
    <w:rsid w:val="00C25094"/>
    <w:rsid w:val="00C268C6"/>
    <w:rsid w:val="00C3089F"/>
    <w:rsid w:val="00C30EFA"/>
    <w:rsid w:val="00C33DB8"/>
    <w:rsid w:val="00C3525B"/>
    <w:rsid w:val="00C3729F"/>
    <w:rsid w:val="00C50A9F"/>
    <w:rsid w:val="00C544FD"/>
    <w:rsid w:val="00C547FC"/>
    <w:rsid w:val="00C72C80"/>
    <w:rsid w:val="00C75672"/>
    <w:rsid w:val="00C80525"/>
    <w:rsid w:val="00C90847"/>
    <w:rsid w:val="00CB0FB4"/>
    <w:rsid w:val="00CC17F3"/>
    <w:rsid w:val="00CC488C"/>
    <w:rsid w:val="00CD065B"/>
    <w:rsid w:val="00CE1A25"/>
    <w:rsid w:val="00CE2BA7"/>
    <w:rsid w:val="00CE4B3D"/>
    <w:rsid w:val="00D05D5F"/>
    <w:rsid w:val="00D100F4"/>
    <w:rsid w:val="00D13CB1"/>
    <w:rsid w:val="00D210C4"/>
    <w:rsid w:val="00D24351"/>
    <w:rsid w:val="00D2690D"/>
    <w:rsid w:val="00D32CA1"/>
    <w:rsid w:val="00D45F8C"/>
    <w:rsid w:val="00D51473"/>
    <w:rsid w:val="00D70F39"/>
    <w:rsid w:val="00D7629C"/>
    <w:rsid w:val="00D76A80"/>
    <w:rsid w:val="00D83B81"/>
    <w:rsid w:val="00D97F29"/>
    <w:rsid w:val="00DA64E9"/>
    <w:rsid w:val="00DA739F"/>
    <w:rsid w:val="00DA7879"/>
    <w:rsid w:val="00DB00B6"/>
    <w:rsid w:val="00DB03C7"/>
    <w:rsid w:val="00DB0C7C"/>
    <w:rsid w:val="00DB2B22"/>
    <w:rsid w:val="00DB65B6"/>
    <w:rsid w:val="00DC2D73"/>
    <w:rsid w:val="00DC62C2"/>
    <w:rsid w:val="00DD26A7"/>
    <w:rsid w:val="00DD2E4B"/>
    <w:rsid w:val="00DD4B36"/>
    <w:rsid w:val="00DD62A1"/>
    <w:rsid w:val="00DE7FA1"/>
    <w:rsid w:val="00DF1476"/>
    <w:rsid w:val="00DF4E24"/>
    <w:rsid w:val="00DF5D0B"/>
    <w:rsid w:val="00DF610D"/>
    <w:rsid w:val="00DF6206"/>
    <w:rsid w:val="00E03F3D"/>
    <w:rsid w:val="00E12186"/>
    <w:rsid w:val="00E12328"/>
    <w:rsid w:val="00E144E2"/>
    <w:rsid w:val="00E23871"/>
    <w:rsid w:val="00E260D1"/>
    <w:rsid w:val="00E33051"/>
    <w:rsid w:val="00E43693"/>
    <w:rsid w:val="00E43AD6"/>
    <w:rsid w:val="00E501DE"/>
    <w:rsid w:val="00E52699"/>
    <w:rsid w:val="00E67812"/>
    <w:rsid w:val="00E708AD"/>
    <w:rsid w:val="00E72371"/>
    <w:rsid w:val="00E9067E"/>
    <w:rsid w:val="00E90B9F"/>
    <w:rsid w:val="00EA0EEB"/>
    <w:rsid w:val="00EA56F1"/>
    <w:rsid w:val="00EA68DA"/>
    <w:rsid w:val="00EB27D3"/>
    <w:rsid w:val="00EB6553"/>
    <w:rsid w:val="00EC78BC"/>
    <w:rsid w:val="00ED0DC7"/>
    <w:rsid w:val="00ED1A8E"/>
    <w:rsid w:val="00ED28B4"/>
    <w:rsid w:val="00ED69A6"/>
    <w:rsid w:val="00ED780A"/>
    <w:rsid w:val="00EE01C4"/>
    <w:rsid w:val="00EF0B7B"/>
    <w:rsid w:val="00EF2059"/>
    <w:rsid w:val="00EF590F"/>
    <w:rsid w:val="00EF65FA"/>
    <w:rsid w:val="00F00737"/>
    <w:rsid w:val="00F02D1D"/>
    <w:rsid w:val="00F04717"/>
    <w:rsid w:val="00F0611A"/>
    <w:rsid w:val="00F0632B"/>
    <w:rsid w:val="00F22B3F"/>
    <w:rsid w:val="00F277EE"/>
    <w:rsid w:val="00F30B50"/>
    <w:rsid w:val="00F35940"/>
    <w:rsid w:val="00F415F8"/>
    <w:rsid w:val="00F531EB"/>
    <w:rsid w:val="00F556B5"/>
    <w:rsid w:val="00F57027"/>
    <w:rsid w:val="00F609DD"/>
    <w:rsid w:val="00F63CCC"/>
    <w:rsid w:val="00F71BF8"/>
    <w:rsid w:val="00F745F8"/>
    <w:rsid w:val="00F74820"/>
    <w:rsid w:val="00F75F11"/>
    <w:rsid w:val="00F76EE3"/>
    <w:rsid w:val="00F80B19"/>
    <w:rsid w:val="00F82EB6"/>
    <w:rsid w:val="00F83C2C"/>
    <w:rsid w:val="00F90728"/>
    <w:rsid w:val="00FA0AB7"/>
    <w:rsid w:val="00FA213D"/>
    <w:rsid w:val="00FA30BA"/>
    <w:rsid w:val="00FA45B8"/>
    <w:rsid w:val="00FA4D1B"/>
    <w:rsid w:val="00FA8D76"/>
    <w:rsid w:val="00FB1753"/>
    <w:rsid w:val="00FB583F"/>
    <w:rsid w:val="00FC2206"/>
    <w:rsid w:val="00FC613A"/>
    <w:rsid w:val="00FD33A1"/>
    <w:rsid w:val="00FD5404"/>
    <w:rsid w:val="00FD6732"/>
    <w:rsid w:val="00FE1C1A"/>
    <w:rsid w:val="00FE1E60"/>
    <w:rsid w:val="00FE76CB"/>
    <w:rsid w:val="00FF1738"/>
    <w:rsid w:val="00FF3318"/>
    <w:rsid w:val="02F29486"/>
    <w:rsid w:val="06ED02BF"/>
    <w:rsid w:val="0863A37C"/>
    <w:rsid w:val="32FB9C6A"/>
    <w:rsid w:val="3604B503"/>
    <w:rsid w:val="3864C823"/>
    <w:rsid w:val="430CCF12"/>
    <w:rsid w:val="5E211022"/>
    <w:rsid w:val="6E87EADA"/>
    <w:rsid w:val="7C7D2165"/>
    <w:rsid w:val="7D47AB9F"/>
    <w:rsid w:val="7EEF958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ECB63"/>
  <w15:chartTrackingRefBased/>
  <w15:docId w15:val="{315525DF-5A24-4FAD-B0AB-5016F7157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341BA"/>
  </w:style>
  <w:style w:type="paragraph" w:styleId="Heading1">
    <w:name w:val="heading 1"/>
    <w:basedOn w:val="Normal"/>
    <w:next w:val="Normal"/>
    <w:link w:val="Heading1Char"/>
    <w:uiPriority w:val="9"/>
    <w:qFormat/>
    <w:rsid w:val="000341B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41B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41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41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41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41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41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41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41B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341B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341B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341B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341B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341B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341B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341B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341B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341BA"/>
    <w:rPr>
      <w:rFonts w:eastAsiaTheme="majorEastAsia" w:cstheme="majorBidi"/>
      <w:color w:val="272727" w:themeColor="text1" w:themeTint="D8"/>
    </w:rPr>
  </w:style>
  <w:style w:type="paragraph" w:styleId="Title">
    <w:name w:val="Title"/>
    <w:basedOn w:val="Normal"/>
    <w:next w:val="Normal"/>
    <w:link w:val="TitleChar"/>
    <w:uiPriority w:val="10"/>
    <w:qFormat/>
    <w:rsid w:val="000341B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341B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341B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341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41BA"/>
    <w:pPr>
      <w:spacing w:before="160"/>
      <w:jc w:val="center"/>
    </w:pPr>
    <w:rPr>
      <w:i/>
      <w:iCs/>
      <w:color w:val="404040" w:themeColor="text1" w:themeTint="BF"/>
    </w:rPr>
  </w:style>
  <w:style w:type="character" w:styleId="QuoteChar" w:customStyle="1">
    <w:name w:val="Quote Char"/>
    <w:basedOn w:val="DefaultParagraphFont"/>
    <w:link w:val="Quote"/>
    <w:uiPriority w:val="29"/>
    <w:rsid w:val="000341BA"/>
    <w:rPr>
      <w:i/>
      <w:iCs/>
      <w:color w:val="404040" w:themeColor="text1" w:themeTint="BF"/>
    </w:rPr>
  </w:style>
  <w:style w:type="paragraph" w:styleId="ListParagraph">
    <w:name w:val="List Paragraph"/>
    <w:aliases w:val="Buletai,Bullet EY,List Paragraph21,List Paragraph2,lp1,Bullet 1,Use Case List Paragraph,Numbering,ERP-List Paragraph,List Paragraph11,List Paragraph111,Paragraph,List Paragraph Red,List not in Table,Numbered List,Lentele,List Paragraph "/>
    <w:basedOn w:val="Normal"/>
    <w:link w:val="ListParagraphChar"/>
    <w:uiPriority w:val="34"/>
    <w:qFormat/>
    <w:rsid w:val="000341BA"/>
    <w:pPr>
      <w:ind w:left="720"/>
      <w:contextualSpacing/>
    </w:pPr>
  </w:style>
  <w:style w:type="character" w:styleId="IntenseEmphasis">
    <w:name w:val="Intense Emphasis"/>
    <w:basedOn w:val="DefaultParagraphFont"/>
    <w:uiPriority w:val="21"/>
    <w:qFormat/>
    <w:rsid w:val="000341BA"/>
    <w:rPr>
      <w:i/>
      <w:iCs/>
      <w:color w:val="0F4761" w:themeColor="accent1" w:themeShade="BF"/>
    </w:rPr>
  </w:style>
  <w:style w:type="paragraph" w:styleId="IntenseQuote">
    <w:name w:val="Intense Quote"/>
    <w:basedOn w:val="Normal"/>
    <w:next w:val="Normal"/>
    <w:link w:val="IntenseQuoteChar"/>
    <w:uiPriority w:val="30"/>
    <w:qFormat/>
    <w:rsid w:val="000341B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341BA"/>
    <w:rPr>
      <w:i/>
      <w:iCs/>
      <w:color w:val="0F4761" w:themeColor="accent1" w:themeShade="BF"/>
    </w:rPr>
  </w:style>
  <w:style w:type="character" w:styleId="IntenseReference">
    <w:name w:val="Intense Reference"/>
    <w:basedOn w:val="DefaultParagraphFont"/>
    <w:uiPriority w:val="32"/>
    <w:qFormat/>
    <w:rsid w:val="000341BA"/>
    <w:rPr>
      <w:b/>
      <w:bCs/>
      <w:smallCaps/>
      <w:color w:val="0F4761" w:themeColor="accent1" w:themeShade="BF"/>
      <w:spacing w:val="5"/>
    </w:rPr>
  </w:style>
  <w:style w:type="paragraph" w:styleId="Header">
    <w:name w:val="header"/>
    <w:basedOn w:val="Normal"/>
    <w:link w:val="HeaderChar"/>
    <w:uiPriority w:val="99"/>
    <w:unhideWhenUsed/>
    <w:rsid w:val="000341BA"/>
    <w:pPr>
      <w:tabs>
        <w:tab w:val="center" w:pos="4819"/>
        <w:tab w:val="right" w:pos="9638"/>
      </w:tabs>
      <w:spacing w:after="0" w:line="240" w:lineRule="auto"/>
    </w:pPr>
  </w:style>
  <w:style w:type="character" w:styleId="HeaderChar" w:customStyle="1">
    <w:name w:val="Header Char"/>
    <w:basedOn w:val="DefaultParagraphFont"/>
    <w:link w:val="Header"/>
    <w:uiPriority w:val="99"/>
    <w:rsid w:val="000341BA"/>
  </w:style>
  <w:style w:type="character" w:styleId="ListParagraphChar" w:customStyle="1">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0341BA"/>
  </w:style>
  <w:style w:type="character" w:styleId="CommentReference">
    <w:name w:val="annotation reference"/>
    <w:basedOn w:val="DefaultParagraphFont"/>
    <w:uiPriority w:val="99"/>
    <w:semiHidden/>
    <w:unhideWhenUsed/>
    <w:rsid w:val="002E4103"/>
    <w:rPr>
      <w:sz w:val="16"/>
      <w:szCs w:val="16"/>
    </w:rPr>
  </w:style>
  <w:style w:type="paragraph" w:styleId="CommentText">
    <w:name w:val="annotation text"/>
    <w:basedOn w:val="Normal"/>
    <w:link w:val="CommentTextChar"/>
    <w:uiPriority w:val="99"/>
    <w:unhideWhenUsed/>
    <w:rsid w:val="002E4103"/>
    <w:pPr>
      <w:spacing w:line="240" w:lineRule="auto"/>
    </w:pPr>
    <w:rPr>
      <w:sz w:val="20"/>
      <w:szCs w:val="20"/>
    </w:rPr>
  </w:style>
  <w:style w:type="character" w:styleId="CommentTextChar" w:customStyle="1">
    <w:name w:val="Comment Text Char"/>
    <w:basedOn w:val="DefaultParagraphFont"/>
    <w:link w:val="CommentText"/>
    <w:uiPriority w:val="99"/>
    <w:rsid w:val="002E4103"/>
    <w:rPr>
      <w:sz w:val="20"/>
      <w:szCs w:val="20"/>
    </w:rPr>
  </w:style>
  <w:style w:type="paragraph" w:styleId="CommentSubject">
    <w:name w:val="annotation subject"/>
    <w:basedOn w:val="CommentText"/>
    <w:next w:val="CommentText"/>
    <w:link w:val="CommentSubjectChar"/>
    <w:uiPriority w:val="99"/>
    <w:semiHidden/>
    <w:unhideWhenUsed/>
    <w:rsid w:val="002E4103"/>
    <w:rPr>
      <w:b/>
      <w:bCs/>
    </w:rPr>
  </w:style>
  <w:style w:type="character" w:styleId="CommentSubjectChar" w:customStyle="1">
    <w:name w:val="Comment Subject Char"/>
    <w:basedOn w:val="CommentTextChar"/>
    <w:link w:val="CommentSubject"/>
    <w:uiPriority w:val="99"/>
    <w:semiHidden/>
    <w:rsid w:val="002E4103"/>
    <w:rPr>
      <w:b/>
      <w:bCs/>
      <w:sz w:val="20"/>
      <w:szCs w:val="20"/>
    </w:rPr>
  </w:style>
  <w:style w:type="paragraph" w:styleId="Revision">
    <w:name w:val="Revision"/>
    <w:hidden/>
    <w:uiPriority w:val="99"/>
    <w:semiHidden/>
    <w:rsid w:val="00A0320B"/>
    <w:pPr>
      <w:spacing w:after="0" w:line="240" w:lineRule="auto"/>
    </w:pPr>
  </w:style>
  <w:style w:type="paragraph" w:styleId="Footer">
    <w:name w:val="footer"/>
    <w:basedOn w:val="Normal"/>
    <w:link w:val="FooterChar"/>
    <w:uiPriority w:val="99"/>
    <w:semiHidden/>
    <w:unhideWhenUsed/>
    <w:rsid w:val="00F0632B"/>
    <w:pPr>
      <w:tabs>
        <w:tab w:val="center" w:pos="4819"/>
        <w:tab w:val="right" w:pos="9638"/>
      </w:tabs>
      <w:spacing w:after="0" w:line="240" w:lineRule="auto"/>
    </w:pPr>
  </w:style>
  <w:style w:type="character" w:styleId="FooterChar" w:customStyle="1">
    <w:name w:val="Footer Char"/>
    <w:basedOn w:val="DefaultParagraphFont"/>
    <w:link w:val="Footer"/>
    <w:uiPriority w:val="99"/>
    <w:semiHidden/>
    <w:rsid w:val="00F0632B"/>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normaltextrun" w:customStyle="true">
    <w:uiPriority w:val="1"/>
    <w:name w:val="normaltextrun"/>
    <w:basedOn w:val="DefaultParagraphFont"/>
    <w:rsid w:val="06ED02BF"/>
    <w:rPr>
      <w:rFonts w:ascii="Tahoma" w:hAnsi="Tahoma" w:eastAsia="Calibri" w:cs="" w:eastAsiaTheme="minorAsci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2.xml" Id="rId14" /></Relationships>
</file>

<file path=word/_rels/header2.xml.rels>&#65279;<?xml version="1.0" encoding="utf-8"?><Relationships xmlns="http://schemas.openxmlformats.org/package/2006/relationships"><Relationship Type="http://schemas.openxmlformats.org/officeDocument/2006/relationships/image" Target="/media/image.png" Id="rId148464330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7AC3CB78FF70C458439D75B4A23944F" ma:contentTypeVersion="15" ma:contentTypeDescription="Create a new document." ma:contentTypeScope="" ma:versionID="3e25a96498b7da5b760be45d86e9cb25">
  <xsd:schema xmlns:xsd="http://www.w3.org/2001/XMLSchema" xmlns:xs="http://www.w3.org/2001/XMLSchema" xmlns:p="http://schemas.microsoft.com/office/2006/metadata/properties" xmlns:ns2="8e6f2afb-9b57-41de-8379-8ff12c3189b6" xmlns:ns3="19087870-50ab-4a66-bc64-4be2dafd3379" targetNamespace="http://schemas.microsoft.com/office/2006/metadata/properties" ma:root="true" ma:fieldsID="d80e8b624948cd3bf0ba2e3af38e5bc7" ns2:_="" ns3:_="">
    <xsd:import namespace="8e6f2afb-9b57-41de-8379-8ff12c3189b6"/>
    <xsd:import namespace="19087870-50ab-4a66-bc64-4be2dafd337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6f2afb-9b57-41de-8379-8ff12c3189b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087870-50ab-4a66-bc64-4be2dafd337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6cae304-4f73-41a5-9856-da826d1033e3}" ma:internalName="TaxCatchAll" ma:showField="CatchAllData" ma:web="19087870-50ab-4a66-bc64-4be2dafd337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e6f2afb-9b57-41de-8379-8ff12c3189b6">
      <Terms xmlns="http://schemas.microsoft.com/office/infopath/2007/PartnerControls"/>
    </lcf76f155ced4ddcb4097134ff3c332f>
    <TaxCatchAll xmlns="19087870-50ab-4a66-bc64-4be2dafd3379" xsi:nil="true"/>
  </documentManagement>
</p:properties>
</file>

<file path=customXml/itemProps1.xml><?xml version="1.0" encoding="utf-8"?>
<ds:datastoreItem xmlns:ds="http://schemas.openxmlformats.org/officeDocument/2006/customXml" ds:itemID="{EA447D97-2095-4ADC-97A9-D34A219A06CC}">
  <ds:schemaRefs>
    <ds:schemaRef ds:uri="http://schemas.openxmlformats.org/officeDocument/2006/bibliography"/>
  </ds:schemaRefs>
</ds:datastoreItem>
</file>

<file path=customXml/itemProps2.xml><?xml version="1.0" encoding="utf-8"?>
<ds:datastoreItem xmlns:ds="http://schemas.openxmlformats.org/officeDocument/2006/customXml" ds:itemID="{6ED63142-E0CE-4C91-A464-04862B053152}"/>
</file>

<file path=customXml/itemProps3.xml><?xml version="1.0" encoding="utf-8"?>
<ds:datastoreItem xmlns:ds="http://schemas.openxmlformats.org/officeDocument/2006/customXml" ds:itemID="{F22D351B-F3D5-4FBF-9DB6-5E99CAC2E229}"/>
</file>

<file path=customXml/itemProps4.xml><?xml version="1.0" encoding="utf-8"?>
<ds:datastoreItem xmlns:ds="http://schemas.openxmlformats.org/officeDocument/2006/customXml" ds:itemID="{78D59132-81F1-4D6D-80AC-ED48816D5C8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Lina Makuškienė</dc:creator>
  <keywords/>
  <dc:description/>
  <lastModifiedBy>Grašienė, Rasa</lastModifiedBy>
  <revision>5</revision>
  <dcterms:created xsi:type="dcterms:W3CDTF">2026-06-19T12:23:00.0000000Z</dcterms:created>
  <dcterms:modified xsi:type="dcterms:W3CDTF">2026-06-22T12:36:11.5653416Z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0x010100A7AC3CB78FF70C458439D75B4A23944F</vt:lpwstr>
  </property>
  <property fmtid="{D5CDD505-2E9C-101B-9397-08002B2CF9AE}" pid="3" name="MediaServiceImageTags">
    <vt:lpwstr/>
  </property>
</Properties>
</file>